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9B" w:rsidRPr="0061109B" w:rsidRDefault="0061109B" w:rsidP="0061109B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pt-BR"/>
        </w:rPr>
      </w:pPr>
      <w:proofErr w:type="spellStart"/>
      <w:r w:rsidRPr="0061109B">
        <w:rPr>
          <w:rFonts w:ascii="inherit" w:eastAsia="Times New Roman" w:hAnsi="inherit" w:cs="Helvetica"/>
          <w:color w:val="373737"/>
          <w:sz w:val="23"/>
          <w:szCs w:val="23"/>
          <w:lang w:eastAsia="pt-BR"/>
        </w:rPr>
        <w:t>D.O.E.</w:t>
      </w:r>
      <w:proofErr w:type="spellEnd"/>
      <w:r w:rsidRPr="0061109B">
        <w:rPr>
          <w:rFonts w:ascii="inherit" w:eastAsia="Times New Roman" w:hAnsi="inherit" w:cs="Helvetica"/>
          <w:color w:val="373737"/>
          <w:sz w:val="23"/>
          <w:szCs w:val="23"/>
          <w:lang w:eastAsia="pt-BR"/>
        </w:rPr>
        <w:t>: 22/06/1989</w:t>
      </w:r>
    </w:p>
    <w:p w:rsidR="0061109B" w:rsidRPr="0061109B" w:rsidRDefault="0061109B" w:rsidP="0061109B">
      <w:pPr>
        <w:shd w:val="clear" w:color="auto" w:fill="FFFFFF"/>
        <w:spacing w:after="0" w:line="360" w:lineRule="atLeast"/>
        <w:textAlignment w:val="baseline"/>
        <w:outlineLvl w:val="0"/>
        <w:rPr>
          <w:rFonts w:ascii="inherit" w:eastAsia="Times New Roman" w:hAnsi="inherit" w:cs="Helvetica"/>
          <w:b/>
          <w:bCs/>
          <w:color w:val="00A5B7"/>
          <w:kern w:val="36"/>
          <w:sz w:val="27"/>
          <w:szCs w:val="27"/>
          <w:lang w:eastAsia="pt-BR"/>
        </w:rPr>
      </w:pPr>
      <w:r w:rsidRPr="0061109B">
        <w:rPr>
          <w:rFonts w:ascii="inherit" w:eastAsia="Times New Roman" w:hAnsi="inherit" w:cs="Helvetica"/>
          <w:b/>
          <w:bCs/>
          <w:color w:val="00A5B7"/>
          <w:kern w:val="36"/>
          <w:sz w:val="27"/>
          <w:szCs w:val="27"/>
          <w:lang w:eastAsia="pt-BR"/>
        </w:rPr>
        <w:t>RESOLUÇÃO Nº 3532, DE 22 DE JUNHO DE 1989</w:t>
      </w:r>
    </w:p>
    <w:p w:rsidR="0061109B" w:rsidRPr="0061109B" w:rsidRDefault="0061109B" w:rsidP="0061109B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Times New Roman" w:eastAsia="Times New Roman" w:hAnsi="Times New Roman" w:cs="Times New Roman"/>
          <w:color w:val="990033"/>
          <w:sz w:val="36"/>
          <w:szCs w:val="36"/>
          <w:bdr w:val="none" w:sz="0" w:space="0" w:color="auto" w:frame="1"/>
          <w:lang w:eastAsia="pt-BR"/>
        </w:rPr>
        <w:t>(Alterada pela Resolução</w:t>
      </w:r>
      <w:r w:rsidRPr="0061109B">
        <w:rPr>
          <w:rFonts w:ascii="Times New Roman" w:eastAsia="Times New Roman" w:hAnsi="Times New Roman" w:cs="Times New Roman"/>
          <w:color w:val="990033"/>
          <w:sz w:val="36"/>
          <w:lang w:eastAsia="pt-BR"/>
        </w:rPr>
        <w:t> </w:t>
      </w:r>
      <w:hyperlink r:id="rId5" w:tooltip="RESOLUÇÃO Nº 5488, DE 8 DE DEZEMBRO DE 2008" w:history="1">
        <w:r w:rsidRPr="0061109B">
          <w:rPr>
            <w:rFonts w:ascii="inherit" w:eastAsia="Times New Roman" w:hAnsi="inherit" w:cs="Helvetica"/>
            <w:color w:val="1982D1"/>
            <w:sz w:val="18"/>
            <w:lang w:eastAsia="pt-BR"/>
          </w:rPr>
          <w:t>5488/2008</w:t>
        </w:r>
      </w:hyperlink>
      <w:r w:rsidRPr="0061109B">
        <w:rPr>
          <w:rFonts w:ascii="Times New Roman" w:eastAsia="Times New Roman" w:hAnsi="Times New Roman" w:cs="Times New Roman"/>
          <w:color w:val="990033"/>
          <w:sz w:val="36"/>
          <w:szCs w:val="36"/>
          <w:bdr w:val="none" w:sz="0" w:space="0" w:color="auto" w:frame="1"/>
          <w:lang w:eastAsia="pt-BR"/>
        </w:rPr>
        <w:t>)</w:t>
      </w:r>
    </w:p>
    <w:p w:rsidR="0061109B" w:rsidRPr="0061109B" w:rsidRDefault="0061109B" w:rsidP="0061109B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Times New Roman" w:eastAsia="Times New Roman" w:hAnsi="Times New Roman" w:cs="Times New Roman"/>
          <w:color w:val="373737"/>
          <w:sz w:val="27"/>
          <w:szCs w:val="27"/>
          <w:bdr w:val="none" w:sz="0" w:space="0" w:color="auto" w:frame="1"/>
          <w:lang w:eastAsia="pt-BR"/>
        </w:rPr>
        <w:t>Estabelece normas sobre afastamento de docentes e pesquisadores.</w:t>
      </w:r>
    </w:p>
    <w:p w:rsidR="0061109B" w:rsidRPr="0061109B" w:rsidRDefault="0061109B" w:rsidP="0061109B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Times New Roman" w:eastAsia="Times New Roman" w:hAnsi="Times New Roman" w:cs="Times New Roman"/>
          <w:color w:val="373737"/>
          <w:sz w:val="27"/>
          <w:szCs w:val="27"/>
          <w:bdr w:val="none" w:sz="0" w:space="0" w:color="auto" w:frame="1"/>
          <w:lang w:eastAsia="pt-BR"/>
        </w:rPr>
        <w:t xml:space="preserve">JOSÉ GOLDEMBERG, Reitor da Universidade de São Paulo, usando de suas atribuições legais e tendo em vista o deliberado pelo </w:t>
      </w:r>
      <w:proofErr w:type="spellStart"/>
      <w:proofErr w:type="gramStart"/>
      <w:r w:rsidRPr="0061109B">
        <w:rPr>
          <w:rFonts w:ascii="Times New Roman" w:eastAsia="Times New Roman" w:hAnsi="Times New Roman" w:cs="Times New Roman"/>
          <w:color w:val="373737"/>
          <w:sz w:val="27"/>
          <w:szCs w:val="27"/>
          <w:bdr w:val="none" w:sz="0" w:space="0" w:color="auto" w:frame="1"/>
          <w:lang w:eastAsia="pt-BR"/>
        </w:rPr>
        <w:t>ConselhoUniversitário</w:t>
      </w:r>
      <w:proofErr w:type="spellEnd"/>
      <w:proofErr w:type="gramEnd"/>
      <w:r w:rsidRPr="0061109B">
        <w:rPr>
          <w:rFonts w:ascii="Times New Roman" w:eastAsia="Times New Roman" w:hAnsi="Times New Roman" w:cs="Times New Roman"/>
          <w:color w:val="373737"/>
          <w:sz w:val="27"/>
          <w:szCs w:val="27"/>
          <w:bdr w:val="none" w:sz="0" w:space="0" w:color="auto" w:frame="1"/>
          <w:lang w:eastAsia="pt-BR"/>
        </w:rPr>
        <w:t>, em Sessão realizada a 20 de junho de 1989, baixa a seguinte</w:t>
      </w:r>
    </w:p>
    <w:p w:rsidR="0061109B" w:rsidRPr="0061109B" w:rsidRDefault="0061109B" w:rsidP="0061109B">
      <w:pPr>
        <w:shd w:val="clear" w:color="auto" w:fill="FFFFFF"/>
        <w:spacing w:after="0" w:line="366" w:lineRule="atLeast"/>
        <w:jc w:val="center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Times New Roman" w:eastAsia="Times New Roman" w:hAnsi="Times New Roman" w:cs="Times New Roman"/>
          <w:b/>
          <w:bCs/>
          <w:color w:val="373737"/>
          <w:sz w:val="27"/>
          <w:szCs w:val="27"/>
          <w:bdr w:val="none" w:sz="0" w:space="0" w:color="auto" w:frame="1"/>
          <w:lang w:eastAsia="pt-BR"/>
        </w:rPr>
        <w:t>RESOLUÇÃO:</w:t>
      </w:r>
    </w:p>
    <w:p w:rsidR="0061109B" w:rsidRPr="0061109B" w:rsidRDefault="0061109B" w:rsidP="0061109B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bookmarkStart w:id="0" w:name="a1"/>
      <w:bookmarkEnd w:id="0"/>
      <w:r w:rsidRPr="0061109B">
        <w:rPr>
          <w:rFonts w:ascii="Times New Roman" w:eastAsia="Times New Roman" w:hAnsi="Times New Roman" w:cs="Times New Roman"/>
          <w:b/>
          <w:bCs/>
          <w:color w:val="373737"/>
          <w:sz w:val="27"/>
          <w:szCs w:val="27"/>
          <w:bdr w:val="none" w:sz="0" w:space="0" w:color="auto" w:frame="1"/>
          <w:lang w:eastAsia="pt-BR"/>
        </w:rPr>
        <w:t>Artigo 1º</w:t>
      </w:r>
      <w:r w:rsidRPr="0061109B">
        <w:rPr>
          <w:rFonts w:ascii="Times New Roman" w:eastAsia="Times New Roman" w:hAnsi="Times New Roman" w:cs="Times New Roman"/>
          <w:color w:val="373737"/>
          <w:sz w:val="27"/>
          <w:lang w:eastAsia="pt-BR"/>
        </w:rPr>
        <w:t> </w:t>
      </w:r>
      <w:r w:rsidRPr="0061109B">
        <w:rPr>
          <w:rFonts w:ascii="Times New Roman" w:eastAsia="Times New Roman" w:hAnsi="Times New Roman" w:cs="Times New Roman"/>
          <w:color w:val="373737"/>
          <w:sz w:val="27"/>
          <w:szCs w:val="27"/>
          <w:bdr w:val="none" w:sz="0" w:space="0" w:color="auto" w:frame="1"/>
          <w:lang w:eastAsia="pt-BR"/>
        </w:rPr>
        <w:t>– O afastamento do docente, com ou sem prejuízo dos vencimentos e das demais vantagens inerentes ao regime de trabalho a que estiver sujeito, dar-se-á, uma vez aprovado pelos órgãos próprios da Unidade e pela CERT, mediante ato do Reitor.</w:t>
      </w:r>
    </w:p>
    <w:p w:rsidR="0061109B" w:rsidRPr="0061109B" w:rsidRDefault="0061109B" w:rsidP="0061109B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Times New Roman" w:eastAsia="Times New Roman" w:hAnsi="Times New Roman" w:cs="Times New Roman"/>
          <w:color w:val="373737"/>
          <w:sz w:val="27"/>
          <w:szCs w:val="27"/>
          <w:bdr w:val="none" w:sz="0" w:space="0" w:color="auto" w:frame="1"/>
          <w:lang w:eastAsia="pt-BR"/>
        </w:rPr>
        <w:t xml:space="preserve">Parágrafo único – Em caráter </w:t>
      </w:r>
      <w:proofErr w:type="gramStart"/>
      <w:r w:rsidRPr="0061109B">
        <w:rPr>
          <w:rFonts w:ascii="Times New Roman" w:eastAsia="Times New Roman" w:hAnsi="Times New Roman" w:cs="Times New Roman"/>
          <w:color w:val="373737"/>
          <w:sz w:val="27"/>
          <w:szCs w:val="27"/>
          <w:bdr w:val="none" w:sz="0" w:space="0" w:color="auto" w:frame="1"/>
          <w:lang w:eastAsia="pt-BR"/>
        </w:rPr>
        <w:t>excepcional,</w:t>
      </w:r>
      <w:proofErr w:type="gramEnd"/>
      <w:r w:rsidRPr="0061109B">
        <w:rPr>
          <w:rFonts w:ascii="Times New Roman" w:eastAsia="Times New Roman" w:hAnsi="Times New Roman" w:cs="Times New Roman"/>
          <w:color w:val="373737"/>
          <w:sz w:val="27"/>
          <w:szCs w:val="27"/>
          <w:bdr w:val="none" w:sz="0" w:space="0" w:color="auto" w:frame="1"/>
          <w:lang w:eastAsia="pt-BR"/>
        </w:rPr>
        <w:t>poderá o Reitor conceder afastamentos</w:t>
      </w:r>
      <w:r w:rsidRPr="0061109B">
        <w:rPr>
          <w:rFonts w:ascii="Times New Roman" w:eastAsia="Times New Roman" w:hAnsi="Times New Roman" w:cs="Times New Roman"/>
          <w:color w:val="373737"/>
          <w:sz w:val="27"/>
          <w:lang w:eastAsia="pt-BR"/>
        </w:rPr>
        <w:t> </w:t>
      </w:r>
      <w:r w:rsidRPr="0061109B">
        <w:rPr>
          <w:rFonts w:ascii="Times New Roman" w:eastAsia="Times New Roman" w:hAnsi="Times New Roman" w:cs="Times New Roman"/>
          <w:i/>
          <w:iCs/>
          <w:color w:val="373737"/>
          <w:sz w:val="27"/>
          <w:szCs w:val="27"/>
          <w:bdr w:val="none" w:sz="0" w:space="0" w:color="auto" w:frame="1"/>
          <w:lang w:eastAsia="pt-BR"/>
        </w:rPr>
        <w:t>ad referendum</w:t>
      </w:r>
      <w:r w:rsidRPr="0061109B">
        <w:rPr>
          <w:rFonts w:ascii="Times New Roman" w:eastAsia="Times New Roman" w:hAnsi="Times New Roman" w:cs="Times New Roman"/>
          <w:color w:val="373737"/>
          <w:sz w:val="27"/>
          <w:lang w:eastAsia="pt-BR"/>
        </w:rPr>
        <w:t> </w:t>
      </w:r>
      <w:r w:rsidRPr="0061109B">
        <w:rPr>
          <w:rFonts w:ascii="Times New Roman" w:eastAsia="Times New Roman" w:hAnsi="Times New Roman" w:cs="Times New Roman"/>
          <w:color w:val="373737"/>
          <w:sz w:val="27"/>
          <w:szCs w:val="27"/>
          <w:bdr w:val="none" w:sz="0" w:space="0" w:color="auto" w:frame="1"/>
          <w:lang w:eastAsia="pt-BR"/>
        </w:rPr>
        <w:t>da CERT.</w:t>
      </w:r>
    </w:p>
    <w:p w:rsidR="0061109B" w:rsidRPr="0061109B" w:rsidRDefault="0061109B" w:rsidP="0061109B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bookmarkStart w:id="1" w:name="a2"/>
      <w:bookmarkEnd w:id="1"/>
      <w:r w:rsidRPr="0061109B">
        <w:rPr>
          <w:rFonts w:ascii="Times New Roman" w:eastAsia="Times New Roman" w:hAnsi="Times New Roman" w:cs="Times New Roman"/>
          <w:b/>
          <w:bCs/>
          <w:color w:val="373737"/>
          <w:sz w:val="27"/>
          <w:szCs w:val="27"/>
          <w:bdr w:val="none" w:sz="0" w:space="0" w:color="auto" w:frame="1"/>
          <w:lang w:eastAsia="pt-BR"/>
        </w:rPr>
        <w:t>Artigo 2º</w:t>
      </w:r>
      <w:r w:rsidRPr="0061109B">
        <w:rPr>
          <w:rFonts w:ascii="Times New Roman" w:eastAsia="Times New Roman" w:hAnsi="Times New Roman" w:cs="Times New Roman"/>
          <w:color w:val="373737"/>
          <w:sz w:val="27"/>
          <w:lang w:eastAsia="pt-BR"/>
        </w:rPr>
        <w:t> </w:t>
      </w:r>
      <w:r w:rsidRPr="0061109B">
        <w:rPr>
          <w:rFonts w:ascii="Times New Roman" w:eastAsia="Times New Roman" w:hAnsi="Times New Roman" w:cs="Times New Roman"/>
          <w:color w:val="373737"/>
          <w:sz w:val="27"/>
          <w:szCs w:val="27"/>
          <w:bdr w:val="none" w:sz="0" w:space="0" w:color="auto" w:frame="1"/>
          <w:lang w:eastAsia="pt-BR"/>
        </w:rPr>
        <w:t>– Os afastamentos poderão ser autorizados, desde que haja afinidade entre as atribuições do docente e as atividades a serem desenvolvidas, para a realização dos seguintes objetivos:</w:t>
      </w:r>
    </w:p>
    <w:p w:rsidR="0061109B" w:rsidRPr="0061109B" w:rsidRDefault="0061109B" w:rsidP="0061109B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Times New Roman" w:eastAsia="Times New Roman" w:hAnsi="Times New Roman" w:cs="Times New Roman"/>
          <w:color w:val="373737"/>
          <w:sz w:val="27"/>
          <w:szCs w:val="27"/>
          <w:bdr w:val="none" w:sz="0" w:space="0" w:color="auto" w:frame="1"/>
          <w:lang w:eastAsia="pt-BR"/>
        </w:rPr>
        <w:t>I – obtenção de título universitário;</w:t>
      </w:r>
    </w:p>
    <w:p w:rsidR="0061109B" w:rsidRPr="0061109B" w:rsidRDefault="0061109B" w:rsidP="0061109B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Times New Roman" w:eastAsia="Times New Roman" w:hAnsi="Times New Roman" w:cs="Times New Roman"/>
          <w:color w:val="373737"/>
          <w:sz w:val="27"/>
          <w:szCs w:val="27"/>
          <w:bdr w:val="none" w:sz="0" w:space="0" w:color="auto" w:frame="1"/>
          <w:lang w:eastAsia="pt-BR"/>
        </w:rPr>
        <w:t>II – realização de pesquisa;</w:t>
      </w:r>
    </w:p>
    <w:p w:rsidR="0061109B" w:rsidRPr="0061109B" w:rsidRDefault="0061109B" w:rsidP="0061109B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Times New Roman" w:eastAsia="Times New Roman" w:hAnsi="Times New Roman" w:cs="Times New Roman"/>
          <w:color w:val="373737"/>
          <w:sz w:val="27"/>
          <w:szCs w:val="27"/>
          <w:bdr w:val="none" w:sz="0" w:space="0" w:color="auto" w:frame="1"/>
          <w:lang w:eastAsia="pt-BR"/>
        </w:rPr>
        <w:t>III – aperfeiçoamento, especialização e extensão;</w:t>
      </w:r>
    </w:p>
    <w:p w:rsidR="0061109B" w:rsidRPr="0061109B" w:rsidRDefault="0061109B" w:rsidP="0061109B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Times New Roman" w:eastAsia="Times New Roman" w:hAnsi="Times New Roman" w:cs="Times New Roman"/>
          <w:color w:val="373737"/>
          <w:sz w:val="27"/>
          <w:szCs w:val="27"/>
          <w:bdr w:val="none" w:sz="0" w:space="0" w:color="auto" w:frame="1"/>
          <w:lang w:eastAsia="pt-BR"/>
        </w:rPr>
        <w:t>IV – exercício de leitorados no exterior;</w:t>
      </w:r>
    </w:p>
    <w:p w:rsidR="0061109B" w:rsidRPr="0061109B" w:rsidRDefault="0061109B" w:rsidP="0061109B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Times New Roman" w:eastAsia="Times New Roman" w:hAnsi="Times New Roman" w:cs="Times New Roman"/>
          <w:color w:val="373737"/>
          <w:sz w:val="27"/>
          <w:szCs w:val="27"/>
          <w:bdr w:val="none" w:sz="0" w:space="0" w:color="auto" w:frame="1"/>
          <w:lang w:eastAsia="pt-BR"/>
        </w:rPr>
        <w:t>V – exercício de magistério na categoria de professor visitante em instituição de ensino superior;</w:t>
      </w:r>
    </w:p>
    <w:p w:rsidR="0061109B" w:rsidRPr="0061109B" w:rsidRDefault="0061109B" w:rsidP="0061109B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Times New Roman" w:eastAsia="Times New Roman" w:hAnsi="Times New Roman" w:cs="Times New Roman"/>
          <w:color w:val="373737"/>
          <w:sz w:val="27"/>
          <w:szCs w:val="27"/>
          <w:bdr w:val="none" w:sz="0" w:space="0" w:color="auto" w:frame="1"/>
          <w:lang w:eastAsia="pt-BR"/>
        </w:rPr>
        <w:t xml:space="preserve">VI – </w:t>
      </w:r>
      <w:proofErr w:type="spellStart"/>
      <w:r w:rsidRPr="0061109B">
        <w:rPr>
          <w:rFonts w:ascii="Times New Roman" w:eastAsia="Times New Roman" w:hAnsi="Times New Roman" w:cs="Times New Roman"/>
          <w:color w:val="373737"/>
          <w:sz w:val="27"/>
          <w:szCs w:val="27"/>
          <w:bdr w:val="none" w:sz="0" w:space="0" w:color="auto" w:frame="1"/>
          <w:lang w:eastAsia="pt-BR"/>
        </w:rPr>
        <w:t>ministração</w:t>
      </w:r>
      <w:proofErr w:type="spellEnd"/>
      <w:r w:rsidRPr="0061109B">
        <w:rPr>
          <w:rFonts w:ascii="Times New Roman" w:eastAsia="Times New Roman" w:hAnsi="Times New Roman" w:cs="Times New Roman"/>
          <w:color w:val="373737"/>
          <w:sz w:val="27"/>
          <w:szCs w:val="27"/>
          <w:bdr w:val="none" w:sz="0" w:space="0" w:color="auto" w:frame="1"/>
          <w:lang w:eastAsia="pt-BR"/>
        </w:rPr>
        <w:t xml:space="preserve"> de cursos ou conferências;</w:t>
      </w:r>
    </w:p>
    <w:p w:rsidR="0061109B" w:rsidRPr="0061109B" w:rsidRDefault="0061109B" w:rsidP="0061109B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Times New Roman" w:eastAsia="Times New Roman" w:hAnsi="Times New Roman" w:cs="Times New Roman"/>
          <w:color w:val="373737"/>
          <w:sz w:val="27"/>
          <w:szCs w:val="27"/>
          <w:bdr w:val="none" w:sz="0" w:space="0" w:color="auto" w:frame="1"/>
          <w:lang w:eastAsia="pt-BR"/>
        </w:rPr>
        <w:t>VII – exercício de cargos ou funções públicas ao nível Federal, Estadual ou Municipal;</w:t>
      </w:r>
    </w:p>
    <w:p w:rsidR="0061109B" w:rsidRPr="0061109B" w:rsidRDefault="0061109B" w:rsidP="0061109B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Times New Roman" w:eastAsia="Times New Roman" w:hAnsi="Times New Roman" w:cs="Times New Roman"/>
          <w:color w:val="373737"/>
          <w:sz w:val="27"/>
          <w:szCs w:val="27"/>
          <w:bdr w:val="none" w:sz="0" w:space="0" w:color="auto" w:frame="1"/>
          <w:lang w:eastAsia="pt-BR"/>
        </w:rPr>
        <w:t>VIII – prestação de serviços à comunidade;</w:t>
      </w:r>
    </w:p>
    <w:p w:rsidR="0061109B" w:rsidRPr="0061109B" w:rsidRDefault="0061109B" w:rsidP="0061109B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Times New Roman" w:eastAsia="Times New Roman" w:hAnsi="Times New Roman" w:cs="Times New Roman"/>
          <w:color w:val="373737"/>
          <w:sz w:val="27"/>
          <w:szCs w:val="27"/>
          <w:bdr w:val="none" w:sz="0" w:space="0" w:color="auto" w:frame="1"/>
          <w:lang w:eastAsia="pt-BR"/>
        </w:rPr>
        <w:t>IX – atendimento de compromissos decorrentes de convênios aprovados pela Comissão de Orçamento e Patrimônio;</w:t>
      </w:r>
    </w:p>
    <w:p w:rsidR="0061109B" w:rsidRPr="0061109B" w:rsidRDefault="0061109B" w:rsidP="0061109B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Times New Roman" w:eastAsia="Times New Roman" w:hAnsi="Times New Roman" w:cs="Times New Roman"/>
          <w:color w:val="373737"/>
          <w:sz w:val="27"/>
          <w:szCs w:val="27"/>
          <w:bdr w:val="none" w:sz="0" w:space="0" w:color="auto" w:frame="1"/>
          <w:lang w:eastAsia="pt-BR"/>
        </w:rPr>
        <w:t>X – participação em comissões julgadoras de concursos e outras de interesse público;</w:t>
      </w:r>
    </w:p>
    <w:p w:rsidR="0061109B" w:rsidRPr="0061109B" w:rsidRDefault="0061109B" w:rsidP="0061109B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Times New Roman" w:eastAsia="Times New Roman" w:hAnsi="Times New Roman" w:cs="Times New Roman"/>
          <w:color w:val="373737"/>
          <w:sz w:val="27"/>
          <w:szCs w:val="27"/>
          <w:bdr w:val="none" w:sz="0" w:space="0" w:color="auto" w:frame="1"/>
          <w:lang w:eastAsia="pt-BR"/>
        </w:rPr>
        <w:t>XI – participação em certames culturais;</w:t>
      </w:r>
    </w:p>
    <w:p w:rsidR="0061109B" w:rsidRPr="0061109B" w:rsidRDefault="0061109B" w:rsidP="0061109B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Times New Roman" w:eastAsia="Times New Roman" w:hAnsi="Times New Roman" w:cs="Times New Roman"/>
          <w:color w:val="373737"/>
          <w:sz w:val="27"/>
          <w:szCs w:val="27"/>
          <w:bdr w:val="none" w:sz="0" w:space="0" w:color="auto" w:frame="1"/>
          <w:lang w:eastAsia="pt-BR"/>
        </w:rPr>
        <w:t>XII – exercício de funções em organizações internacionais.</w:t>
      </w:r>
    </w:p>
    <w:p w:rsidR="0061109B" w:rsidRPr="0061109B" w:rsidRDefault="0061109B" w:rsidP="0061109B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Times New Roman" w:eastAsia="Times New Roman" w:hAnsi="Times New Roman" w:cs="Times New Roman"/>
          <w:color w:val="373737"/>
          <w:sz w:val="27"/>
          <w:szCs w:val="27"/>
          <w:bdr w:val="none" w:sz="0" w:space="0" w:color="auto" w:frame="1"/>
          <w:lang w:eastAsia="pt-BR"/>
        </w:rPr>
        <w:t xml:space="preserve">§ 1º – Os afastamentos previstos nos incisos </w:t>
      </w:r>
      <w:proofErr w:type="gramStart"/>
      <w:r w:rsidRPr="0061109B">
        <w:rPr>
          <w:rFonts w:ascii="Times New Roman" w:eastAsia="Times New Roman" w:hAnsi="Times New Roman" w:cs="Times New Roman"/>
          <w:color w:val="373737"/>
          <w:sz w:val="27"/>
          <w:szCs w:val="27"/>
          <w:bdr w:val="none" w:sz="0" w:space="0" w:color="auto" w:frame="1"/>
          <w:lang w:eastAsia="pt-BR"/>
        </w:rPr>
        <w:t>I,</w:t>
      </w:r>
      <w:proofErr w:type="gramEnd"/>
      <w:r w:rsidRPr="0061109B">
        <w:rPr>
          <w:rFonts w:ascii="Times New Roman" w:eastAsia="Times New Roman" w:hAnsi="Times New Roman" w:cs="Times New Roman"/>
          <w:color w:val="373737"/>
          <w:sz w:val="27"/>
          <w:szCs w:val="27"/>
          <w:bdr w:val="none" w:sz="0" w:space="0" w:color="auto" w:frame="1"/>
          <w:lang w:eastAsia="pt-BR"/>
        </w:rPr>
        <w:t>II e III somente serão autorizados quando acompanhados de carta de aceitação e justificativa que demonstre a conveniência para o docente e para a USP da freqüência a determinados centros especializados.</w:t>
      </w:r>
    </w:p>
    <w:p w:rsidR="0061109B" w:rsidRPr="0061109B" w:rsidRDefault="0061109B" w:rsidP="0061109B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Times New Roman" w:eastAsia="Times New Roman" w:hAnsi="Times New Roman" w:cs="Times New Roman"/>
          <w:color w:val="373737"/>
          <w:sz w:val="27"/>
          <w:szCs w:val="27"/>
          <w:bdr w:val="none" w:sz="0" w:space="0" w:color="auto" w:frame="1"/>
          <w:lang w:eastAsia="pt-BR"/>
        </w:rPr>
        <w:lastRenderedPageBreak/>
        <w:t xml:space="preserve">§ 2º – Os afastamentos previstos nos incisos IV, V, </w:t>
      </w:r>
      <w:proofErr w:type="gramStart"/>
      <w:r w:rsidRPr="0061109B">
        <w:rPr>
          <w:rFonts w:ascii="Times New Roman" w:eastAsia="Times New Roman" w:hAnsi="Times New Roman" w:cs="Times New Roman"/>
          <w:color w:val="373737"/>
          <w:sz w:val="27"/>
          <w:szCs w:val="27"/>
          <w:bdr w:val="none" w:sz="0" w:space="0" w:color="auto" w:frame="1"/>
          <w:lang w:eastAsia="pt-BR"/>
        </w:rPr>
        <w:t>VI</w:t>
      </w:r>
      <w:proofErr w:type="gramEnd"/>
      <w:r w:rsidRPr="0061109B">
        <w:rPr>
          <w:rFonts w:ascii="Times New Roman" w:eastAsia="Times New Roman" w:hAnsi="Times New Roman" w:cs="Times New Roman"/>
          <w:color w:val="373737"/>
          <w:sz w:val="27"/>
          <w:szCs w:val="27"/>
          <w:bdr w:val="none" w:sz="0" w:space="0" w:color="auto" w:frame="1"/>
          <w:lang w:eastAsia="pt-BR"/>
        </w:rPr>
        <w:t>, VIII e XII serão concedidos quando houver solicitação da Instituição ou da organização interessada.</w:t>
      </w:r>
    </w:p>
    <w:p w:rsidR="0061109B" w:rsidRPr="0061109B" w:rsidRDefault="0061109B" w:rsidP="0061109B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Times New Roman" w:eastAsia="Times New Roman" w:hAnsi="Times New Roman" w:cs="Times New Roman"/>
          <w:color w:val="373737"/>
          <w:sz w:val="27"/>
          <w:szCs w:val="27"/>
          <w:bdr w:val="none" w:sz="0" w:space="0" w:color="auto" w:frame="1"/>
          <w:lang w:eastAsia="pt-BR"/>
        </w:rPr>
        <w:t xml:space="preserve">§ 3º – Não poderá ser concedido afastamento por prazo superior a </w:t>
      </w:r>
      <w:proofErr w:type="gramStart"/>
      <w:r w:rsidRPr="0061109B">
        <w:rPr>
          <w:rFonts w:ascii="Times New Roman" w:eastAsia="Times New Roman" w:hAnsi="Times New Roman" w:cs="Times New Roman"/>
          <w:color w:val="373737"/>
          <w:sz w:val="27"/>
          <w:szCs w:val="27"/>
          <w:bdr w:val="none" w:sz="0" w:space="0" w:color="auto" w:frame="1"/>
          <w:lang w:eastAsia="pt-BR"/>
        </w:rPr>
        <w:t>2</w:t>
      </w:r>
      <w:proofErr w:type="gramEnd"/>
      <w:r w:rsidRPr="0061109B">
        <w:rPr>
          <w:rFonts w:ascii="Times New Roman" w:eastAsia="Times New Roman" w:hAnsi="Times New Roman" w:cs="Times New Roman"/>
          <w:color w:val="373737"/>
          <w:sz w:val="27"/>
          <w:szCs w:val="27"/>
          <w:bdr w:val="none" w:sz="0" w:space="0" w:color="auto" w:frame="1"/>
          <w:lang w:eastAsia="pt-BR"/>
        </w:rPr>
        <w:t xml:space="preserve"> (dois) anos para o exercício de cargo ou função em caráter permanente.</w:t>
      </w:r>
    </w:p>
    <w:p w:rsidR="0061109B" w:rsidRPr="0061109B" w:rsidRDefault="0061109B" w:rsidP="0061109B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bookmarkStart w:id="2" w:name="a3"/>
      <w:bookmarkEnd w:id="2"/>
      <w:r w:rsidRPr="0061109B">
        <w:rPr>
          <w:rFonts w:ascii="Times New Roman" w:eastAsia="Times New Roman" w:hAnsi="Times New Roman" w:cs="Times New Roman"/>
          <w:b/>
          <w:bCs/>
          <w:color w:val="373737"/>
          <w:sz w:val="27"/>
          <w:szCs w:val="27"/>
          <w:bdr w:val="none" w:sz="0" w:space="0" w:color="auto" w:frame="1"/>
          <w:lang w:eastAsia="pt-BR"/>
        </w:rPr>
        <w:t>Artigo 3º</w:t>
      </w:r>
      <w:r w:rsidRPr="0061109B">
        <w:rPr>
          <w:rFonts w:ascii="Times New Roman" w:eastAsia="Times New Roman" w:hAnsi="Times New Roman" w:cs="Times New Roman"/>
          <w:color w:val="373737"/>
          <w:sz w:val="27"/>
          <w:lang w:eastAsia="pt-BR"/>
        </w:rPr>
        <w:t> </w:t>
      </w:r>
      <w:r w:rsidRPr="0061109B">
        <w:rPr>
          <w:rFonts w:ascii="Times New Roman" w:eastAsia="Times New Roman" w:hAnsi="Times New Roman" w:cs="Times New Roman"/>
          <w:color w:val="373737"/>
          <w:sz w:val="27"/>
          <w:szCs w:val="27"/>
          <w:bdr w:val="none" w:sz="0" w:space="0" w:color="auto" w:frame="1"/>
          <w:lang w:eastAsia="pt-BR"/>
        </w:rPr>
        <w:t>– Qualquer afastamento somente será permitido para fim determinado e por prazo limitado, ouvidos os órgãos competentes da Unidade e a CERT.</w:t>
      </w:r>
    </w:p>
    <w:p w:rsidR="0061109B" w:rsidRPr="0061109B" w:rsidRDefault="0061109B" w:rsidP="0061109B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Times New Roman" w:eastAsia="Times New Roman" w:hAnsi="Times New Roman" w:cs="Times New Roman"/>
          <w:strike/>
          <w:color w:val="373737"/>
          <w:sz w:val="27"/>
          <w:szCs w:val="27"/>
          <w:bdr w:val="none" w:sz="0" w:space="0" w:color="auto" w:frame="1"/>
          <w:lang w:eastAsia="pt-BR"/>
        </w:rPr>
        <w:t xml:space="preserve">§ 1º – Os afastamentos até 30 (trinta) </w:t>
      </w:r>
      <w:proofErr w:type="spellStart"/>
      <w:r w:rsidRPr="0061109B">
        <w:rPr>
          <w:rFonts w:ascii="Times New Roman" w:eastAsia="Times New Roman" w:hAnsi="Times New Roman" w:cs="Times New Roman"/>
          <w:strike/>
          <w:color w:val="373737"/>
          <w:sz w:val="27"/>
          <w:szCs w:val="27"/>
          <w:bdr w:val="none" w:sz="0" w:space="0" w:color="auto" w:frame="1"/>
          <w:lang w:eastAsia="pt-BR"/>
        </w:rPr>
        <w:t>diaspoderão</w:t>
      </w:r>
      <w:proofErr w:type="spellEnd"/>
      <w:r w:rsidRPr="0061109B">
        <w:rPr>
          <w:rFonts w:ascii="Times New Roman" w:eastAsia="Times New Roman" w:hAnsi="Times New Roman" w:cs="Times New Roman"/>
          <w:strike/>
          <w:color w:val="373737"/>
          <w:sz w:val="27"/>
          <w:szCs w:val="27"/>
          <w:bdr w:val="none" w:sz="0" w:space="0" w:color="auto" w:frame="1"/>
          <w:lang w:eastAsia="pt-BR"/>
        </w:rPr>
        <w:t xml:space="preserve"> ficar na dependência exclusiva de autorização obtida no âmbito de </w:t>
      </w:r>
      <w:proofErr w:type="spellStart"/>
      <w:proofErr w:type="gramStart"/>
      <w:r w:rsidRPr="0061109B">
        <w:rPr>
          <w:rFonts w:ascii="Times New Roman" w:eastAsia="Times New Roman" w:hAnsi="Times New Roman" w:cs="Times New Roman"/>
          <w:strike/>
          <w:color w:val="373737"/>
          <w:sz w:val="27"/>
          <w:szCs w:val="27"/>
          <w:bdr w:val="none" w:sz="0" w:space="0" w:color="auto" w:frame="1"/>
          <w:lang w:eastAsia="pt-BR"/>
        </w:rPr>
        <w:t>cadaUnidade</w:t>
      </w:r>
      <w:proofErr w:type="spellEnd"/>
      <w:proofErr w:type="gramEnd"/>
      <w:r w:rsidRPr="0061109B">
        <w:rPr>
          <w:rFonts w:ascii="Times New Roman" w:eastAsia="Times New Roman" w:hAnsi="Times New Roman" w:cs="Times New Roman"/>
          <w:strike/>
          <w:color w:val="373737"/>
          <w:sz w:val="27"/>
          <w:szCs w:val="27"/>
          <w:bdr w:val="none" w:sz="0" w:space="0" w:color="auto" w:frame="1"/>
          <w:lang w:eastAsia="pt-BR"/>
        </w:rPr>
        <w:t xml:space="preserve"> Universitária, concedidos pela respectiva Diretoria, por delegação do Reitor,salvo o do dirigente, que dependerá da autorização do Reitor.</w:t>
      </w:r>
    </w:p>
    <w:p w:rsidR="0061109B" w:rsidRPr="0061109B" w:rsidRDefault="0061109B" w:rsidP="0061109B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t>§ 1º – Os afastamentos até 30 (trinta) dias poderão ficar na dependência exclusiva de autorização obtida no âmbito de cada Unidade Universitária, concedidos pelos Chefes de Departamento das Unidades de Ensino e Pesquisa, Coordenadores de Curso de Unidades de Ensino não organizadas em departamento e Dirigentes de Museus e Institutos Especializados, em caso de docentes, ou pelo Diretor, no caso de Chefe de Departamento ou de Coordenador de Curso, por delegação do Reitor, salvo o do dirigente, que dependerá da autorização do Reitor.</w:t>
      </w:r>
      <w:r w:rsidRPr="0061109B">
        <w:rPr>
          <w:rFonts w:ascii="inherit" w:eastAsia="Times New Roman" w:hAnsi="inherit" w:cs="Helvetica"/>
          <w:color w:val="373737"/>
          <w:sz w:val="18"/>
          <w:lang w:eastAsia="pt-BR"/>
        </w:rPr>
        <w:t> </w:t>
      </w:r>
      <w:r w:rsidRPr="0061109B"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pt-BR"/>
        </w:rPr>
        <w:t>(alterado pela</w:t>
      </w:r>
      <w:r w:rsidRPr="0061109B">
        <w:rPr>
          <w:rFonts w:ascii="inherit" w:eastAsia="Times New Roman" w:hAnsi="inherit" w:cs="Times New Roman"/>
          <w:b/>
          <w:bCs/>
          <w:color w:val="008000"/>
          <w:sz w:val="24"/>
          <w:szCs w:val="24"/>
          <w:lang w:eastAsia="pt-BR"/>
        </w:rPr>
        <w:t> </w:t>
      </w:r>
      <w:hyperlink r:id="rId6" w:history="1">
        <w:r w:rsidRPr="0061109B">
          <w:rPr>
            <w:rFonts w:ascii="inherit" w:eastAsia="Times New Roman" w:hAnsi="inherit" w:cs="Times New Roman"/>
            <w:b/>
            <w:bCs/>
            <w:color w:val="1982D1"/>
            <w:sz w:val="24"/>
            <w:szCs w:val="24"/>
            <w:lang w:eastAsia="pt-BR"/>
          </w:rPr>
          <w:t>Resolução nº 5488/2008</w:t>
        </w:r>
      </w:hyperlink>
      <w:r w:rsidRPr="0061109B"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pt-BR"/>
        </w:rPr>
        <w:t>)</w:t>
      </w:r>
    </w:p>
    <w:p w:rsidR="0061109B" w:rsidRPr="0061109B" w:rsidRDefault="0061109B" w:rsidP="0061109B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t>§2º – Os afastamentos superiores a 30 (trinta) dias dependerão de autorização do Reitor, ouvida a CERT.</w:t>
      </w:r>
    </w:p>
    <w:p w:rsidR="0061109B" w:rsidRPr="0061109B" w:rsidRDefault="0061109B" w:rsidP="0061109B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inherit" w:eastAsia="Times New Roman" w:hAnsi="inherit" w:cs="Helvetica"/>
          <w:b/>
          <w:bCs/>
          <w:color w:val="373737"/>
          <w:sz w:val="18"/>
          <w:lang w:eastAsia="pt-BR"/>
        </w:rPr>
        <w:t>Artigo 4º</w:t>
      </w:r>
      <w:r w:rsidRPr="0061109B">
        <w:rPr>
          <w:rFonts w:ascii="inherit" w:eastAsia="Times New Roman" w:hAnsi="inherit" w:cs="Helvetica"/>
          <w:color w:val="373737"/>
          <w:sz w:val="18"/>
          <w:lang w:eastAsia="pt-BR"/>
        </w:rPr>
        <w:t> </w:t>
      </w:r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t>– Todos os pedidos de afastamentos por período igual ou superior a 180 (cento e oitenta) dias serão acompanhados de termo de compromisso pelo qual o interessado se obriga a permanecer na USP, após seu retorno, pelo menos no mesmo regime de trabalho que prevalecer durante o afastamento e por prazo não inferior ao que lhe foi concedido.</w:t>
      </w:r>
    </w:p>
    <w:p w:rsidR="0061109B" w:rsidRPr="0061109B" w:rsidRDefault="0061109B" w:rsidP="0061109B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t>§1º – O termo de compromisso a que se refere o</w:t>
      </w:r>
      <w:r w:rsidRPr="0061109B">
        <w:rPr>
          <w:rFonts w:ascii="inherit" w:eastAsia="Times New Roman" w:hAnsi="inherit" w:cs="Helvetica"/>
          <w:color w:val="373737"/>
          <w:sz w:val="18"/>
          <w:lang w:eastAsia="pt-BR"/>
        </w:rPr>
        <w:t> </w:t>
      </w:r>
      <w:r w:rsidRPr="0061109B">
        <w:rPr>
          <w:rFonts w:ascii="inherit" w:eastAsia="Times New Roman" w:hAnsi="inherit" w:cs="Helvetica"/>
          <w:i/>
          <w:iCs/>
          <w:color w:val="373737"/>
          <w:sz w:val="18"/>
          <w:lang w:eastAsia="pt-BR"/>
        </w:rPr>
        <w:t>caput</w:t>
      </w:r>
      <w:r w:rsidRPr="0061109B">
        <w:rPr>
          <w:rFonts w:ascii="inherit" w:eastAsia="Times New Roman" w:hAnsi="inherit" w:cs="Helvetica"/>
          <w:color w:val="373737"/>
          <w:sz w:val="18"/>
          <w:lang w:eastAsia="pt-BR"/>
        </w:rPr>
        <w:t> </w:t>
      </w:r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t>deste artigo deverá ser acompanhado de declaração do interessado de que está ciente do inteiro teor destas normas.</w:t>
      </w:r>
    </w:p>
    <w:p w:rsidR="0061109B" w:rsidRPr="0061109B" w:rsidRDefault="0061109B" w:rsidP="0061109B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t>§2º- A inobservância do compromisso a que se refere este artigo implicará a restituição à USP de importância equivalente à que houver recebido durante o respectivo período.</w:t>
      </w:r>
    </w:p>
    <w:p w:rsidR="0061109B" w:rsidRPr="0061109B" w:rsidRDefault="0061109B" w:rsidP="0061109B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t>§3º – O disposto no</w:t>
      </w:r>
      <w:r w:rsidRPr="0061109B">
        <w:rPr>
          <w:rFonts w:ascii="inherit" w:eastAsia="Times New Roman" w:hAnsi="inherit" w:cs="Helvetica"/>
          <w:color w:val="373737"/>
          <w:sz w:val="18"/>
          <w:lang w:eastAsia="pt-BR"/>
        </w:rPr>
        <w:t> </w:t>
      </w:r>
      <w:r w:rsidRPr="0061109B">
        <w:rPr>
          <w:rFonts w:ascii="inherit" w:eastAsia="Times New Roman" w:hAnsi="inherit" w:cs="Helvetica"/>
          <w:i/>
          <w:iCs/>
          <w:color w:val="373737"/>
          <w:sz w:val="18"/>
          <w:lang w:eastAsia="pt-BR"/>
        </w:rPr>
        <w:t>caput</w:t>
      </w:r>
      <w:r w:rsidRPr="0061109B">
        <w:rPr>
          <w:rFonts w:ascii="inherit" w:eastAsia="Times New Roman" w:hAnsi="inherit" w:cs="Helvetica"/>
          <w:color w:val="373737"/>
          <w:sz w:val="18"/>
          <w:lang w:eastAsia="pt-BR"/>
        </w:rPr>
        <w:t> </w:t>
      </w:r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t>deste artigo não se aplica aos afastamentos concedidos para desempenho de atividade pública de caráter relevante ou representação oficial da Universidade.</w:t>
      </w:r>
    </w:p>
    <w:p w:rsidR="0061109B" w:rsidRPr="0061109B" w:rsidRDefault="0061109B" w:rsidP="0061109B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inherit" w:eastAsia="Times New Roman" w:hAnsi="inherit" w:cs="Helvetica"/>
          <w:b/>
          <w:bCs/>
          <w:color w:val="373737"/>
          <w:sz w:val="18"/>
          <w:lang w:eastAsia="pt-BR"/>
        </w:rPr>
        <w:t>Artigo 5º</w:t>
      </w:r>
      <w:r w:rsidRPr="0061109B">
        <w:rPr>
          <w:rFonts w:ascii="inherit" w:eastAsia="Times New Roman" w:hAnsi="inherit" w:cs="Helvetica"/>
          <w:color w:val="373737"/>
          <w:sz w:val="18"/>
          <w:lang w:eastAsia="pt-BR"/>
        </w:rPr>
        <w:t> </w:t>
      </w:r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t xml:space="preserve">– Exceto nos casos previstos no inciso VII do artigo 2º e no parágrafo 3º do artigo 4º, nenhum afastamento com vencimentos será autorizado por prazo superior a </w:t>
      </w:r>
      <w:proofErr w:type="gramStart"/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t>2</w:t>
      </w:r>
      <w:proofErr w:type="gramEnd"/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t xml:space="preserve"> (dois) anos consecutivos.</w:t>
      </w:r>
    </w:p>
    <w:p w:rsidR="0061109B" w:rsidRPr="0061109B" w:rsidRDefault="0061109B" w:rsidP="0061109B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t xml:space="preserve">§1º – As prorrogações de afastamento remunerado por até mais </w:t>
      </w:r>
      <w:proofErr w:type="gramStart"/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t>2</w:t>
      </w:r>
      <w:proofErr w:type="gramEnd"/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t xml:space="preserve"> (dois) anos consecutivos, concedidos anualmente, serão permitidas para os afastamentos previstos nos incisos I, II, VIII, IX e XII do artigo 2º, mediante relatório e justificativa devidamente aprovados pelos órgãos competentes.</w:t>
      </w:r>
    </w:p>
    <w:p w:rsidR="0061109B" w:rsidRPr="0061109B" w:rsidRDefault="0061109B" w:rsidP="0061109B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lastRenderedPageBreak/>
        <w:t>§2º – Prorrogações adicionais às previstas no</w:t>
      </w:r>
      <w:r w:rsidRPr="0061109B">
        <w:rPr>
          <w:rFonts w:ascii="inherit" w:eastAsia="Times New Roman" w:hAnsi="inherit" w:cs="Helvetica"/>
          <w:i/>
          <w:iCs/>
          <w:color w:val="373737"/>
          <w:sz w:val="18"/>
          <w:lang w:eastAsia="pt-BR"/>
        </w:rPr>
        <w:t> caput</w:t>
      </w:r>
      <w:r w:rsidRPr="0061109B">
        <w:rPr>
          <w:rFonts w:ascii="inherit" w:eastAsia="Times New Roman" w:hAnsi="inherit" w:cs="Helvetica"/>
          <w:color w:val="373737"/>
          <w:sz w:val="18"/>
          <w:lang w:eastAsia="pt-BR"/>
        </w:rPr>
        <w:t> </w:t>
      </w:r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t xml:space="preserve">e no parágrafo 1º deste artigo somente poderão ser concedidas pelo prazo máximo de </w:t>
      </w:r>
      <w:proofErr w:type="gramStart"/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t>1</w:t>
      </w:r>
      <w:proofErr w:type="gramEnd"/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t xml:space="preserve"> (um) ano, desde que com prejuízo de vencimentos, mas sem o das demais vantagens do cargo ou função.</w:t>
      </w:r>
    </w:p>
    <w:p w:rsidR="0061109B" w:rsidRPr="0061109B" w:rsidRDefault="0061109B" w:rsidP="0061109B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t>§3º – Os afastamentos remunerados, para a prestação de serviços de natureza administrativa em Institutos, Estabelecimentos de Ensino Superior oficiais, entidades oficiais de apoio à pesquisa, não pertencentes à Universidade de São Paulo, poderão ser concedidos por prazo indeterminado, a critério da CERT.</w:t>
      </w:r>
    </w:p>
    <w:p w:rsidR="0061109B" w:rsidRPr="0061109B" w:rsidRDefault="0061109B" w:rsidP="0061109B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t xml:space="preserve">§4º – Os afastamentos de docentes, sem prejuízo de vencimentos, para o </w:t>
      </w:r>
      <w:proofErr w:type="spellStart"/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t>exercécio</w:t>
      </w:r>
      <w:proofErr w:type="spellEnd"/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t xml:space="preserve"> de atribuições remuneradas, poderão ser concedidos pelo período máximo de </w:t>
      </w:r>
      <w:proofErr w:type="gramStart"/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t>2</w:t>
      </w:r>
      <w:proofErr w:type="gramEnd"/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t xml:space="preserve"> (dois) anos, durante toda a permanência em RDIDP, sempre que houver interesse para a Universidade de São Paulo ou para a coletividade.</w:t>
      </w:r>
    </w:p>
    <w:p w:rsidR="0061109B" w:rsidRPr="0061109B" w:rsidRDefault="0061109B" w:rsidP="0061109B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t>§5º – Os afastamentos remunerados para exercício de cargos ou funções de governo ou administração ao nível Federal, Estadual ou Municipal, poderão ser concedidos, a critério do Reitor, cabendo ao interessado optar, quando couber, pelos estipêndios de seu cargo ou função, excetuada a gratificação de representação.</w:t>
      </w:r>
    </w:p>
    <w:p w:rsidR="0061109B" w:rsidRPr="0061109B" w:rsidRDefault="0061109B" w:rsidP="0061109B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inherit" w:eastAsia="Times New Roman" w:hAnsi="inherit" w:cs="Helvetica"/>
          <w:b/>
          <w:bCs/>
          <w:color w:val="373737"/>
          <w:sz w:val="18"/>
          <w:lang w:eastAsia="pt-BR"/>
        </w:rPr>
        <w:t>Artigo 6º</w:t>
      </w:r>
      <w:r w:rsidRPr="0061109B">
        <w:rPr>
          <w:rFonts w:ascii="inherit" w:eastAsia="Times New Roman" w:hAnsi="inherit" w:cs="Helvetica"/>
          <w:color w:val="373737"/>
          <w:sz w:val="18"/>
          <w:lang w:eastAsia="pt-BR"/>
        </w:rPr>
        <w:t> </w:t>
      </w:r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t>– O docente que permanecer afastado de seu cargo ou função por período igual ou superior a 180 (cento e oitenta) dias deverá, após o seu retorno, permanecer em exercício por igual período, antes de fazer jus a novo afastamento, a critério da CERT.</w:t>
      </w:r>
    </w:p>
    <w:p w:rsidR="0061109B" w:rsidRPr="0061109B" w:rsidRDefault="0061109B" w:rsidP="0061109B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t>§1º – A restrição prevista no</w:t>
      </w:r>
      <w:r w:rsidRPr="0061109B">
        <w:rPr>
          <w:rFonts w:ascii="inherit" w:eastAsia="Times New Roman" w:hAnsi="inherit" w:cs="Helvetica"/>
          <w:color w:val="373737"/>
          <w:sz w:val="18"/>
          <w:lang w:eastAsia="pt-BR"/>
        </w:rPr>
        <w:t> </w:t>
      </w:r>
      <w:r w:rsidRPr="0061109B">
        <w:rPr>
          <w:rFonts w:ascii="inherit" w:eastAsia="Times New Roman" w:hAnsi="inherit" w:cs="Helvetica"/>
          <w:i/>
          <w:iCs/>
          <w:color w:val="373737"/>
          <w:sz w:val="18"/>
          <w:lang w:eastAsia="pt-BR"/>
        </w:rPr>
        <w:t>caput</w:t>
      </w:r>
      <w:r w:rsidRPr="0061109B">
        <w:rPr>
          <w:rFonts w:ascii="inherit" w:eastAsia="Times New Roman" w:hAnsi="inherit" w:cs="Helvetica"/>
          <w:color w:val="373737"/>
          <w:sz w:val="18"/>
          <w:lang w:eastAsia="pt-BR"/>
        </w:rPr>
        <w:t> </w:t>
      </w:r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t>deste artigo não abrange novos afastamentos de curta duração.</w:t>
      </w:r>
    </w:p>
    <w:p w:rsidR="0061109B" w:rsidRPr="0061109B" w:rsidRDefault="0061109B" w:rsidP="0061109B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t>§2º – Os departamentos poderão ter normas específicas que não conflitem com a presente Regulamentação.</w:t>
      </w:r>
    </w:p>
    <w:p w:rsidR="0061109B" w:rsidRPr="0061109B" w:rsidRDefault="0061109B" w:rsidP="0061109B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inherit" w:eastAsia="Times New Roman" w:hAnsi="inherit" w:cs="Helvetica"/>
          <w:b/>
          <w:bCs/>
          <w:color w:val="373737"/>
          <w:sz w:val="18"/>
          <w:lang w:eastAsia="pt-BR"/>
        </w:rPr>
        <w:t>Artigo 7º</w:t>
      </w:r>
      <w:r w:rsidRPr="0061109B">
        <w:rPr>
          <w:rFonts w:ascii="inherit" w:eastAsia="Times New Roman" w:hAnsi="inherit" w:cs="Helvetica"/>
          <w:color w:val="373737"/>
          <w:sz w:val="18"/>
          <w:lang w:eastAsia="pt-BR"/>
        </w:rPr>
        <w:t> </w:t>
      </w:r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t>– Em qualquer solicitação de afastamento sem prejuízo de vencimentos, o Departamento ou órgão equivalente informará o modo pelo qual serão preenchidos, sem ônus adicionais, os encargos do docente.</w:t>
      </w:r>
    </w:p>
    <w:p w:rsidR="0061109B" w:rsidRPr="0061109B" w:rsidRDefault="0061109B" w:rsidP="0061109B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inherit" w:eastAsia="Times New Roman" w:hAnsi="inherit" w:cs="Helvetica"/>
          <w:b/>
          <w:bCs/>
          <w:color w:val="373737"/>
          <w:sz w:val="18"/>
          <w:lang w:eastAsia="pt-BR"/>
        </w:rPr>
        <w:t>Artigo 8º</w:t>
      </w:r>
      <w:r w:rsidRPr="0061109B">
        <w:rPr>
          <w:rFonts w:ascii="inherit" w:eastAsia="Times New Roman" w:hAnsi="inherit" w:cs="Helvetica"/>
          <w:color w:val="373737"/>
          <w:sz w:val="18"/>
          <w:lang w:eastAsia="pt-BR"/>
        </w:rPr>
        <w:t> </w:t>
      </w:r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t>– Os pedidos de prorrogação de afastamento deverão dar entrada na Unidade Universitária onde o docente tenha exercício, com a devida antecedência.</w:t>
      </w:r>
    </w:p>
    <w:p w:rsidR="0061109B" w:rsidRPr="0061109B" w:rsidRDefault="0061109B" w:rsidP="0061109B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inherit" w:eastAsia="Times New Roman" w:hAnsi="inherit" w:cs="Helvetica"/>
          <w:b/>
          <w:bCs/>
          <w:color w:val="373737"/>
          <w:sz w:val="18"/>
          <w:lang w:eastAsia="pt-BR"/>
        </w:rPr>
        <w:t>Artigo 9º</w:t>
      </w:r>
      <w:r w:rsidRPr="0061109B">
        <w:rPr>
          <w:rFonts w:ascii="inherit" w:eastAsia="Times New Roman" w:hAnsi="inherit" w:cs="Helvetica"/>
          <w:color w:val="373737"/>
          <w:sz w:val="18"/>
          <w:lang w:eastAsia="pt-BR"/>
        </w:rPr>
        <w:t> </w:t>
      </w:r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t xml:space="preserve">– Os afastamentos de docentes, para o exercício de atividades remuneradas a qualquer título, poderão ser concedidos, em caráter excepcional, pelo prazo de </w:t>
      </w:r>
      <w:proofErr w:type="gramStart"/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t>2</w:t>
      </w:r>
      <w:proofErr w:type="gramEnd"/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t xml:space="preserve"> (dois) anos, prorrogável por mais 2 (dois) anos, desde que com prejuízo de vencimentos e demais vantagens inerentes ao regime de trabalho a que estiverem sujeitos.</w:t>
      </w:r>
    </w:p>
    <w:p w:rsidR="0061109B" w:rsidRPr="0061109B" w:rsidRDefault="0061109B" w:rsidP="0061109B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t>Parágrafo único – Os afastamentos mencionados no</w:t>
      </w:r>
      <w:r w:rsidRPr="0061109B">
        <w:rPr>
          <w:rFonts w:ascii="inherit" w:eastAsia="Times New Roman" w:hAnsi="inherit" w:cs="Helvetica"/>
          <w:color w:val="373737"/>
          <w:sz w:val="18"/>
          <w:lang w:eastAsia="pt-BR"/>
        </w:rPr>
        <w:t> </w:t>
      </w:r>
      <w:r w:rsidRPr="0061109B">
        <w:rPr>
          <w:rFonts w:ascii="inherit" w:eastAsia="Times New Roman" w:hAnsi="inherit" w:cs="Helvetica"/>
          <w:i/>
          <w:iCs/>
          <w:color w:val="373737"/>
          <w:sz w:val="18"/>
          <w:lang w:eastAsia="pt-BR"/>
        </w:rPr>
        <w:t>caput</w:t>
      </w:r>
      <w:r w:rsidRPr="0061109B">
        <w:rPr>
          <w:rFonts w:ascii="inherit" w:eastAsia="Times New Roman" w:hAnsi="inherit" w:cs="Helvetica"/>
          <w:color w:val="373737"/>
          <w:sz w:val="18"/>
          <w:lang w:eastAsia="pt-BR"/>
        </w:rPr>
        <w:t> </w:t>
      </w:r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t>deste artigo permitirão que as Unidades efetuem admissões em regime de substituição.</w:t>
      </w:r>
    </w:p>
    <w:p w:rsidR="0061109B" w:rsidRPr="0061109B" w:rsidRDefault="0061109B" w:rsidP="0061109B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inherit" w:eastAsia="Times New Roman" w:hAnsi="inherit" w:cs="Helvetica"/>
          <w:b/>
          <w:bCs/>
          <w:color w:val="373737"/>
          <w:sz w:val="18"/>
          <w:lang w:eastAsia="pt-BR"/>
        </w:rPr>
        <w:t>Artigo 10</w:t>
      </w:r>
      <w:r w:rsidRPr="0061109B">
        <w:rPr>
          <w:rFonts w:ascii="inherit" w:eastAsia="Times New Roman" w:hAnsi="inherit" w:cs="Helvetica"/>
          <w:color w:val="373737"/>
          <w:sz w:val="18"/>
          <w:lang w:eastAsia="pt-BR"/>
        </w:rPr>
        <w:t> </w:t>
      </w:r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t>– Ressalvados os casos previstos no parágrafo 3º do artigo 4º, todo docente beneficiado por afastamento, remunerado ou não, deverá apresentar relatório de suas atividades para ciência e apreciação dos órgãos competentes:</w:t>
      </w:r>
    </w:p>
    <w:p w:rsidR="0061109B" w:rsidRPr="0061109B" w:rsidRDefault="0061109B" w:rsidP="0061109B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t>I – ao término do afastamento;</w:t>
      </w:r>
    </w:p>
    <w:p w:rsidR="0061109B" w:rsidRPr="0061109B" w:rsidRDefault="0061109B" w:rsidP="0061109B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t xml:space="preserve">II – anualmente, quando o prazo de afastamento for superior a </w:t>
      </w:r>
      <w:proofErr w:type="gramStart"/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t>1</w:t>
      </w:r>
      <w:proofErr w:type="gramEnd"/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t xml:space="preserve"> (um) ano;</w:t>
      </w:r>
    </w:p>
    <w:p w:rsidR="0061109B" w:rsidRPr="0061109B" w:rsidRDefault="0061109B" w:rsidP="0061109B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t>III – em qualquer tempo, desde que solicitado pelos órgãos próprios da Unidade ou pela CERT;</w:t>
      </w:r>
    </w:p>
    <w:p w:rsidR="0061109B" w:rsidRPr="0061109B" w:rsidRDefault="0061109B" w:rsidP="0061109B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lastRenderedPageBreak/>
        <w:t>IV – sempre que for solicitada a prorrogação de afastamento.</w:t>
      </w:r>
    </w:p>
    <w:p w:rsidR="0061109B" w:rsidRPr="0061109B" w:rsidRDefault="0061109B" w:rsidP="0061109B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t>§1º – Em caso de omissão de relatório, o interessado perderá o direito a novo afastamento, até que seja cumprida a exigência.</w:t>
      </w:r>
    </w:p>
    <w:p w:rsidR="0061109B" w:rsidRPr="0061109B" w:rsidRDefault="0061109B" w:rsidP="0061109B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t>§2º – O docente cujo relatório não for aprovado poderá ter o afastamento suspenso a qualquer tempo ou ficar sujeito ao indeferimento de novas solicitações.</w:t>
      </w:r>
    </w:p>
    <w:p w:rsidR="0061109B" w:rsidRPr="0061109B" w:rsidRDefault="0061109B" w:rsidP="0061109B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inherit" w:eastAsia="Times New Roman" w:hAnsi="inherit" w:cs="Helvetica"/>
          <w:b/>
          <w:bCs/>
          <w:color w:val="373737"/>
          <w:sz w:val="18"/>
          <w:lang w:eastAsia="pt-BR"/>
        </w:rPr>
        <w:t>Artigo 11</w:t>
      </w:r>
      <w:r w:rsidRPr="0061109B">
        <w:rPr>
          <w:rFonts w:ascii="inherit" w:eastAsia="Times New Roman" w:hAnsi="inherit" w:cs="Helvetica"/>
          <w:color w:val="373737"/>
          <w:sz w:val="18"/>
          <w:lang w:eastAsia="pt-BR"/>
        </w:rPr>
        <w:t> </w:t>
      </w:r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t>– Esta Resolução entrará em vigor na data de sua publicação, revogadas as disposições em contrário.</w:t>
      </w:r>
    </w:p>
    <w:p w:rsidR="0061109B" w:rsidRPr="0061109B" w:rsidRDefault="0061109B" w:rsidP="0061109B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t>Reitoria da Universidade de São Paulo, aos 22 de junho de 1989</w:t>
      </w:r>
    </w:p>
    <w:p w:rsidR="0061109B" w:rsidRPr="0061109B" w:rsidRDefault="0061109B" w:rsidP="0061109B">
      <w:pPr>
        <w:shd w:val="clear" w:color="auto" w:fill="FFFFFF"/>
        <w:spacing w:after="390" w:line="366" w:lineRule="atLeast"/>
        <w:jc w:val="center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t>JOSÉ GOLDEMBERG</w:t>
      </w:r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br/>
        <w:t>Reitor</w:t>
      </w:r>
    </w:p>
    <w:p w:rsidR="0061109B" w:rsidRPr="0061109B" w:rsidRDefault="0061109B" w:rsidP="0061109B">
      <w:pPr>
        <w:shd w:val="clear" w:color="auto" w:fill="FFFFFF"/>
        <w:spacing w:after="390" w:line="366" w:lineRule="atLeast"/>
        <w:jc w:val="center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t>ANGELA MARIA M. B. DE MIRANDA E SILVA</w:t>
      </w:r>
      <w:r w:rsidRPr="0061109B"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  <w:br/>
        <w:t>Secretária Geral</w:t>
      </w:r>
    </w:p>
    <w:p w:rsidR="0061109B" w:rsidRPr="0061109B" w:rsidRDefault="0061109B" w:rsidP="0061109B">
      <w:pPr>
        <w:numPr>
          <w:ilvl w:val="0"/>
          <w:numId w:val="1"/>
        </w:numPr>
        <w:pBdr>
          <w:bottom w:val="dotted" w:sz="6" w:space="6" w:color="000000"/>
        </w:pBdr>
        <w:shd w:val="clear" w:color="auto" w:fill="FFFFFF"/>
        <w:spacing w:after="0" w:line="366" w:lineRule="atLeast"/>
        <w:ind w:left="507"/>
        <w:textAlignment w:val="baseline"/>
        <w:rPr>
          <w:rFonts w:ascii="inherit" w:eastAsia="Times New Roman" w:hAnsi="inherit" w:cs="Helvetica"/>
          <w:color w:val="777777"/>
          <w:sz w:val="20"/>
          <w:szCs w:val="20"/>
          <w:lang w:eastAsia="pt-BR"/>
        </w:rPr>
      </w:pPr>
      <w:hyperlink r:id="rId7" w:history="1">
        <w:r w:rsidRPr="0061109B">
          <w:rPr>
            <w:rFonts w:ascii="inherit" w:eastAsia="Times New Roman" w:hAnsi="inherit" w:cs="Helvetica"/>
            <w:color w:val="000000"/>
            <w:sz w:val="20"/>
            <w:lang w:eastAsia="pt-BR"/>
          </w:rPr>
          <w:t>Normas Históricas</w:t>
        </w:r>
      </w:hyperlink>
    </w:p>
    <w:p w:rsidR="0061109B" w:rsidRPr="0061109B" w:rsidRDefault="0061109B" w:rsidP="0061109B">
      <w:pPr>
        <w:numPr>
          <w:ilvl w:val="0"/>
          <w:numId w:val="1"/>
        </w:numPr>
        <w:pBdr>
          <w:bottom w:val="dotted" w:sz="6" w:space="6" w:color="000000"/>
        </w:pBdr>
        <w:shd w:val="clear" w:color="auto" w:fill="FFFFFF"/>
        <w:spacing w:after="0" w:line="366" w:lineRule="atLeast"/>
        <w:ind w:left="507"/>
        <w:textAlignment w:val="baseline"/>
        <w:rPr>
          <w:rFonts w:ascii="inherit" w:eastAsia="Times New Roman" w:hAnsi="inherit" w:cs="Helvetica"/>
          <w:color w:val="777777"/>
          <w:sz w:val="20"/>
          <w:szCs w:val="20"/>
          <w:lang w:eastAsia="pt-BR"/>
        </w:rPr>
      </w:pPr>
      <w:hyperlink r:id="rId8" w:history="1">
        <w:r w:rsidRPr="0061109B">
          <w:rPr>
            <w:rFonts w:ascii="inherit" w:eastAsia="Times New Roman" w:hAnsi="inherit" w:cs="Helvetica"/>
            <w:color w:val="000000"/>
            <w:sz w:val="20"/>
            <w:lang w:eastAsia="pt-BR"/>
          </w:rPr>
          <w:t>Estatuto</w:t>
        </w:r>
      </w:hyperlink>
    </w:p>
    <w:p w:rsidR="0061109B" w:rsidRPr="0061109B" w:rsidRDefault="0061109B" w:rsidP="0061109B">
      <w:pPr>
        <w:numPr>
          <w:ilvl w:val="0"/>
          <w:numId w:val="1"/>
        </w:numPr>
        <w:pBdr>
          <w:bottom w:val="dotted" w:sz="6" w:space="6" w:color="000000"/>
        </w:pBdr>
        <w:shd w:val="clear" w:color="auto" w:fill="FFFFFF"/>
        <w:spacing w:after="0" w:line="366" w:lineRule="atLeast"/>
        <w:ind w:left="507"/>
        <w:textAlignment w:val="baseline"/>
        <w:rPr>
          <w:rFonts w:ascii="inherit" w:eastAsia="Times New Roman" w:hAnsi="inherit" w:cs="Helvetica"/>
          <w:color w:val="777777"/>
          <w:sz w:val="20"/>
          <w:szCs w:val="20"/>
          <w:lang w:eastAsia="pt-BR"/>
        </w:rPr>
      </w:pPr>
      <w:hyperlink r:id="rId9" w:history="1">
        <w:r w:rsidRPr="0061109B">
          <w:rPr>
            <w:rFonts w:ascii="inherit" w:eastAsia="Times New Roman" w:hAnsi="inherit" w:cs="Helvetica"/>
            <w:color w:val="000000"/>
            <w:sz w:val="20"/>
            <w:lang w:eastAsia="pt-BR"/>
          </w:rPr>
          <w:t>Regimento Geral</w:t>
        </w:r>
      </w:hyperlink>
    </w:p>
    <w:p w:rsidR="0061109B" w:rsidRPr="0061109B" w:rsidRDefault="0061109B" w:rsidP="0061109B">
      <w:pPr>
        <w:numPr>
          <w:ilvl w:val="0"/>
          <w:numId w:val="1"/>
        </w:numPr>
        <w:pBdr>
          <w:bottom w:val="dotted" w:sz="6" w:space="6" w:color="000000"/>
        </w:pBdr>
        <w:shd w:val="clear" w:color="auto" w:fill="FFFFFF"/>
        <w:spacing w:after="0" w:line="366" w:lineRule="atLeast"/>
        <w:ind w:left="507"/>
        <w:textAlignment w:val="baseline"/>
        <w:rPr>
          <w:rFonts w:ascii="inherit" w:eastAsia="Times New Roman" w:hAnsi="inherit" w:cs="Helvetica"/>
          <w:color w:val="777777"/>
          <w:sz w:val="20"/>
          <w:szCs w:val="20"/>
          <w:lang w:eastAsia="pt-BR"/>
        </w:rPr>
      </w:pPr>
      <w:hyperlink r:id="rId10" w:history="1">
        <w:r w:rsidRPr="0061109B">
          <w:rPr>
            <w:rFonts w:ascii="inherit" w:eastAsia="Times New Roman" w:hAnsi="inherit" w:cs="Helvetica"/>
            <w:color w:val="000000"/>
            <w:sz w:val="20"/>
            <w:lang w:eastAsia="pt-BR"/>
          </w:rPr>
          <w:t>Índices Anuais</w:t>
        </w:r>
      </w:hyperlink>
    </w:p>
    <w:p w:rsidR="0061109B" w:rsidRPr="0061109B" w:rsidRDefault="0061109B" w:rsidP="0061109B">
      <w:pPr>
        <w:numPr>
          <w:ilvl w:val="0"/>
          <w:numId w:val="1"/>
        </w:numPr>
        <w:pBdr>
          <w:bottom w:val="dotted" w:sz="6" w:space="6" w:color="000000"/>
        </w:pBdr>
        <w:shd w:val="clear" w:color="auto" w:fill="FFFFFF"/>
        <w:spacing w:after="0" w:line="366" w:lineRule="atLeast"/>
        <w:ind w:left="507"/>
        <w:textAlignment w:val="baseline"/>
        <w:rPr>
          <w:rFonts w:ascii="inherit" w:eastAsia="Times New Roman" w:hAnsi="inherit" w:cs="Helvetica"/>
          <w:color w:val="777777"/>
          <w:sz w:val="20"/>
          <w:szCs w:val="20"/>
          <w:lang w:eastAsia="pt-BR"/>
        </w:rPr>
      </w:pPr>
      <w:hyperlink r:id="rId11" w:history="1">
        <w:r w:rsidRPr="0061109B">
          <w:rPr>
            <w:rFonts w:ascii="inherit" w:eastAsia="Times New Roman" w:hAnsi="inherit" w:cs="Helvetica"/>
            <w:color w:val="000000"/>
            <w:sz w:val="20"/>
            <w:lang w:eastAsia="pt-BR"/>
          </w:rPr>
          <w:t>Regimentos dos Órgãos</w:t>
        </w:r>
      </w:hyperlink>
    </w:p>
    <w:p w:rsidR="0061109B" w:rsidRPr="0061109B" w:rsidRDefault="0061109B" w:rsidP="0061109B">
      <w:pPr>
        <w:numPr>
          <w:ilvl w:val="0"/>
          <w:numId w:val="1"/>
        </w:numPr>
        <w:pBdr>
          <w:bottom w:val="dotted" w:sz="6" w:space="6" w:color="000000"/>
        </w:pBdr>
        <w:shd w:val="clear" w:color="auto" w:fill="FFFFFF"/>
        <w:spacing w:after="0" w:line="366" w:lineRule="atLeast"/>
        <w:ind w:left="507"/>
        <w:textAlignment w:val="baseline"/>
        <w:rPr>
          <w:rFonts w:ascii="inherit" w:eastAsia="Times New Roman" w:hAnsi="inherit" w:cs="Helvetica"/>
          <w:color w:val="777777"/>
          <w:sz w:val="20"/>
          <w:szCs w:val="20"/>
          <w:lang w:eastAsia="pt-BR"/>
        </w:rPr>
      </w:pPr>
      <w:hyperlink r:id="rId12" w:history="1">
        <w:r w:rsidRPr="0061109B">
          <w:rPr>
            <w:rFonts w:ascii="inherit" w:eastAsia="Times New Roman" w:hAnsi="inherit" w:cs="Helvetica"/>
            <w:color w:val="000000"/>
            <w:sz w:val="20"/>
            <w:lang w:eastAsia="pt-BR"/>
          </w:rPr>
          <w:t>Pró-Reitorias</w:t>
        </w:r>
      </w:hyperlink>
    </w:p>
    <w:p w:rsidR="0061109B" w:rsidRPr="0061109B" w:rsidRDefault="0061109B" w:rsidP="0061109B">
      <w:pPr>
        <w:numPr>
          <w:ilvl w:val="0"/>
          <w:numId w:val="1"/>
        </w:numPr>
        <w:pBdr>
          <w:bottom w:val="dotted" w:sz="6" w:space="6" w:color="000000"/>
        </w:pBdr>
        <w:shd w:val="clear" w:color="auto" w:fill="FFFFFF"/>
        <w:spacing w:after="0" w:line="366" w:lineRule="atLeast"/>
        <w:ind w:left="507"/>
        <w:textAlignment w:val="baseline"/>
        <w:rPr>
          <w:rFonts w:ascii="inherit" w:eastAsia="Times New Roman" w:hAnsi="inherit" w:cs="Helvetica"/>
          <w:color w:val="777777"/>
          <w:sz w:val="20"/>
          <w:szCs w:val="20"/>
          <w:lang w:eastAsia="pt-BR"/>
        </w:rPr>
      </w:pPr>
      <w:hyperlink r:id="rId13" w:history="1">
        <w:r w:rsidRPr="0061109B">
          <w:rPr>
            <w:rFonts w:ascii="inherit" w:eastAsia="Times New Roman" w:hAnsi="inherit" w:cs="Helvetica"/>
            <w:color w:val="000000"/>
            <w:sz w:val="20"/>
            <w:lang w:eastAsia="pt-BR"/>
          </w:rPr>
          <w:t>ESU</w:t>
        </w:r>
      </w:hyperlink>
    </w:p>
    <w:p w:rsidR="0061109B" w:rsidRPr="0061109B" w:rsidRDefault="0061109B" w:rsidP="0061109B">
      <w:pPr>
        <w:numPr>
          <w:ilvl w:val="0"/>
          <w:numId w:val="1"/>
        </w:numPr>
        <w:pBdr>
          <w:bottom w:val="dotted" w:sz="6" w:space="6" w:color="000000"/>
        </w:pBdr>
        <w:shd w:val="clear" w:color="auto" w:fill="FFFFFF"/>
        <w:spacing w:after="0" w:line="366" w:lineRule="atLeast"/>
        <w:ind w:left="507"/>
        <w:textAlignment w:val="baseline"/>
        <w:rPr>
          <w:rFonts w:ascii="inherit" w:eastAsia="Times New Roman" w:hAnsi="inherit" w:cs="Helvetica"/>
          <w:color w:val="777777"/>
          <w:sz w:val="20"/>
          <w:szCs w:val="20"/>
          <w:lang w:eastAsia="pt-BR"/>
        </w:rPr>
      </w:pPr>
      <w:hyperlink r:id="rId14" w:history="1">
        <w:r w:rsidRPr="0061109B">
          <w:rPr>
            <w:rFonts w:ascii="inherit" w:eastAsia="Times New Roman" w:hAnsi="inherit" w:cs="Helvetica"/>
            <w:color w:val="000000"/>
            <w:sz w:val="20"/>
            <w:lang w:eastAsia="pt-BR"/>
          </w:rPr>
          <w:t>Normativas</w:t>
        </w:r>
      </w:hyperlink>
    </w:p>
    <w:p w:rsidR="0061109B" w:rsidRPr="0061109B" w:rsidRDefault="0061109B" w:rsidP="0061109B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Helvetica"/>
          <w:color w:val="373737"/>
          <w:sz w:val="18"/>
          <w:szCs w:val="18"/>
          <w:lang w:eastAsia="pt-BR"/>
        </w:rPr>
      </w:pPr>
      <w:hyperlink r:id="rId15" w:history="1">
        <w:r w:rsidRPr="0061109B">
          <w:rPr>
            <w:rFonts w:ascii="inherit" w:eastAsia="Times New Roman" w:hAnsi="inherit" w:cs="Helvetica"/>
            <w:b/>
            <w:bCs/>
            <w:color w:val="00A5B7"/>
            <w:sz w:val="18"/>
            <w:lang w:eastAsia="pt-BR"/>
          </w:rPr>
          <w:t>Acesso restrito</w:t>
        </w:r>
        <w:r>
          <w:rPr>
            <w:rFonts w:ascii="inherit" w:eastAsia="Times New Roman" w:hAnsi="inherit" w:cs="Helvetica"/>
            <w:b/>
            <w:bCs/>
            <w:noProof/>
            <w:color w:val="00A5B7"/>
            <w:sz w:val="18"/>
            <w:szCs w:val="18"/>
            <w:bdr w:val="none" w:sz="0" w:space="0" w:color="auto" w:frame="1"/>
            <w:lang w:eastAsia="pt-BR"/>
          </w:rPr>
          <w:drawing>
            <wp:inline distT="0" distB="0" distL="0" distR="0">
              <wp:extent cx="133350" cy="161925"/>
              <wp:effectExtent l="19050" t="0" r="0" b="0"/>
              <wp:docPr id="1" name="Imagem 1" descr="http://www.leginf.usp.br/wp-content/themes/leginf/images/cadeado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leginf.usp.br/wp-content/themes/leginf/images/cadeado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61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61109B" w:rsidRPr="0061109B" w:rsidRDefault="0061109B" w:rsidP="0061109B">
      <w:pPr>
        <w:shd w:val="clear" w:color="auto" w:fill="008D9D"/>
        <w:spacing w:after="0" w:line="494" w:lineRule="atLeast"/>
        <w:jc w:val="center"/>
        <w:textAlignment w:val="baseline"/>
        <w:rPr>
          <w:rFonts w:ascii="inherit" w:eastAsia="Times New Roman" w:hAnsi="inherit" w:cs="Times New Roman"/>
          <w:color w:val="FFFFFF"/>
          <w:sz w:val="18"/>
          <w:szCs w:val="18"/>
          <w:lang w:eastAsia="pt-BR"/>
        </w:rPr>
      </w:pPr>
      <w:r w:rsidRPr="0061109B">
        <w:rPr>
          <w:rFonts w:ascii="inherit" w:eastAsia="Times New Roman" w:hAnsi="inherit" w:cs="Times New Roman"/>
          <w:color w:val="FFFFFF"/>
          <w:sz w:val="18"/>
          <w:szCs w:val="18"/>
          <w:lang w:eastAsia="pt-BR"/>
        </w:rPr>
        <w:t>© Copyright 2016 Normas da Universidade de São Paulo -</w:t>
      </w:r>
      <w:r w:rsidRPr="0061109B">
        <w:rPr>
          <w:rFonts w:ascii="inherit" w:eastAsia="Times New Roman" w:hAnsi="inherit" w:cs="Times New Roman"/>
          <w:color w:val="FFFFFF"/>
          <w:sz w:val="18"/>
          <w:lang w:eastAsia="pt-BR"/>
        </w:rPr>
        <w:t> </w:t>
      </w:r>
      <w:hyperlink r:id="rId17" w:tgtFrame="_blank" w:history="1">
        <w:r w:rsidRPr="0061109B">
          <w:rPr>
            <w:rFonts w:ascii="inherit" w:eastAsia="Times New Roman" w:hAnsi="inherit" w:cs="Times New Roman"/>
            <w:color w:val="FFFFFF"/>
            <w:sz w:val="18"/>
            <w:lang w:eastAsia="pt-BR"/>
          </w:rPr>
          <w:t>Site antigo</w:t>
        </w:r>
      </w:hyperlink>
    </w:p>
    <w:p w:rsidR="004339E8" w:rsidRDefault="004339E8"/>
    <w:sectPr w:rsidR="004339E8" w:rsidSect="004339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C2AFB"/>
    <w:multiLevelType w:val="multilevel"/>
    <w:tmpl w:val="391E9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09B"/>
    <w:rsid w:val="004339E8"/>
    <w:rsid w:val="0061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E8"/>
  </w:style>
  <w:style w:type="paragraph" w:styleId="Ttulo1">
    <w:name w:val="heading 1"/>
    <w:basedOn w:val="Normal"/>
    <w:link w:val="Ttulo1Char"/>
    <w:uiPriority w:val="9"/>
    <w:qFormat/>
    <w:rsid w:val="00611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109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1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1109B"/>
  </w:style>
  <w:style w:type="character" w:styleId="Hyperlink">
    <w:name w:val="Hyperlink"/>
    <w:basedOn w:val="Fontepargpadro"/>
    <w:uiPriority w:val="99"/>
    <w:semiHidden/>
    <w:unhideWhenUsed/>
    <w:rsid w:val="0061109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1109B"/>
    <w:rPr>
      <w:b/>
      <w:bCs/>
    </w:rPr>
  </w:style>
  <w:style w:type="character" w:styleId="nfase">
    <w:name w:val="Emphasis"/>
    <w:basedOn w:val="Fontepargpadro"/>
    <w:uiPriority w:val="20"/>
    <w:qFormat/>
    <w:rsid w:val="0061109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5792">
              <w:marLeft w:val="-37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6201">
                  <w:marLeft w:val="3807"/>
                  <w:marRight w:val="4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361391">
              <w:marLeft w:val="5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nf.usp.br/?cat=16" TargetMode="External"/><Relationship Id="rId13" Type="http://schemas.openxmlformats.org/officeDocument/2006/relationships/hyperlink" Target="http://www.usp.br/drh/?page_id=38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ginf.usp.br/?page_id=12826" TargetMode="External"/><Relationship Id="rId12" Type="http://schemas.openxmlformats.org/officeDocument/2006/relationships/hyperlink" Target="http://www.leginf.usp.br/?cat=11" TargetMode="External"/><Relationship Id="rId17" Type="http://schemas.openxmlformats.org/officeDocument/2006/relationships/hyperlink" Target="http://citrus.uspnet.usp.br/leginf/" TargetMode="External"/><Relationship Id="rId2" Type="http://schemas.openxmlformats.org/officeDocument/2006/relationships/styles" Target="styles.xml"/><Relationship Id="rId16" Type="http://schemas.openxmlformats.org/officeDocument/2006/relationships/image" Target="media/image1.gif"/><Relationship Id="rId1" Type="http://schemas.openxmlformats.org/officeDocument/2006/relationships/numbering" Target="numbering.xml"/><Relationship Id="rId6" Type="http://schemas.openxmlformats.org/officeDocument/2006/relationships/hyperlink" Target="http://www.leginf.usp.br/?post_type=resolucao&amp;p=8282" TargetMode="External"/><Relationship Id="rId11" Type="http://schemas.openxmlformats.org/officeDocument/2006/relationships/hyperlink" Target="http://www.leginf.usp.br/?cat=3" TargetMode="External"/><Relationship Id="rId5" Type="http://schemas.openxmlformats.org/officeDocument/2006/relationships/hyperlink" Target="http://www.leginf.usp.br/?resolucao=resolucao-no-5488-de-8-de-dezembro-de-2008" TargetMode="External"/><Relationship Id="rId15" Type="http://schemas.openxmlformats.org/officeDocument/2006/relationships/hyperlink" Target="http://www.leginf.usp.br/wp-admin" TargetMode="External"/><Relationship Id="rId10" Type="http://schemas.openxmlformats.org/officeDocument/2006/relationships/hyperlink" Target="http://www.leginf.usp.br/?resolucao=resolucao-no-3532-de-22-de-junho-de-198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eginf.usp.br/?cat=17" TargetMode="External"/><Relationship Id="rId14" Type="http://schemas.openxmlformats.org/officeDocument/2006/relationships/hyperlink" Target="http://www.leginf.usp.br/?resolucao=resolucao-no-3532-de-22-de-junho-de-198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1425</Words>
  <Characters>7698</Characters>
  <Application>Microsoft Office Word</Application>
  <DocSecurity>0</DocSecurity>
  <Lines>64</Lines>
  <Paragraphs>18</Paragraphs>
  <ScaleCrop>false</ScaleCrop>
  <Company>adm003</Company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olgatica</dc:creator>
  <cp:lastModifiedBy>olgatica</cp:lastModifiedBy>
  <cp:revision>1</cp:revision>
  <dcterms:created xsi:type="dcterms:W3CDTF">2016-02-26T14:40:00Z</dcterms:created>
  <dcterms:modified xsi:type="dcterms:W3CDTF">2016-02-26T14:42:00Z</dcterms:modified>
</cp:coreProperties>
</file>