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15" w:rsidRDefault="007F3799" w:rsidP="00123C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Paulo, 8 de junho</w:t>
      </w:r>
      <w:r w:rsidR="00A43D15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A43D15" w:rsidRDefault="00A43D15" w:rsidP="00A43D15">
      <w:pPr>
        <w:rPr>
          <w:rFonts w:ascii="Times New Roman" w:hAnsi="Times New Roman" w:cs="Times New Roman"/>
          <w:sz w:val="24"/>
          <w:szCs w:val="24"/>
        </w:rPr>
      </w:pPr>
    </w:p>
    <w:p w:rsidR="00A43D15" w:rsidRDefault="00A43D15" w:rsidP="00123CA7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</w:pPr>
      <w:r w:rsidRPr="00AB7E11">
        <w:rPr>
          <w:rFonts w:ascii="Times New Roman" w:eastAsia="Times New Roman" w:hAnsi="Times New Roman" w:cs="Times New Roman"/>
          <w:caps/>
          <w:color w:val="000000"/>
          <w:lang w:eastAsia="pt-BR"/>
        </w:rPr>
        <w:t>às</w:t>
      </w:r>
      <w:r w:rsidRPr="00E54B3F"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aps/>
          <w:color w:val="000000"/>
          <w:lang w:eastAsia="pt-BR"/>
        </w:rPr>
        <w:t>AOS</w:t>
      </w:r>
      <w:r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>) PROFESSORA</w:t>
      </w:r>
      <w:r w:rsidRPr="00E54B3F"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>(ES)</w:t>
      </w:r>
      <w:r w:rsidRPr="00E54B3F"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 xml:space="preserve">ÀS (AOS) </w:t>
      </w:r>
      <w:r w:rsidRPr="00E54B3F"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>ESTUDANTES DA</w:t>
      </w:r>
    </w:p>
    <w:p w:rsidR="00A43D15" w:rsidRDefault="00A43D15" w:rsidP="00123CA7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</w:pPr>
      <w:r w:rsidRPr="00E54B3F">
        <w:rPr>
          <w:rFonts w:ascii="Times New Roman" w:eastAsia="Times New Roman" w:hAnsi="Times New Roman" w:cs="Times New Roman"/>
          <w:smallCaps/>
          <w:color w:val="000000"/>
          <w:szCs w:val="24"/>
          <w:lang w:eastAsia="pt-BR"/>
        </w:rPr>
        <w:t>FACULDADE DE EDUCAÇÃO DA UNIVERSIDADE DE SÃO PAULO</w:t>
      </w:r>
    </w:p>
    <w:p w:rsidR="00A43D15" w:rsidRDefault="00A43D15" w:rsidP="00A43D15">
      <w:pPr>
        <w:rPr>
          <w:rFonts w:ascii="Times New Roman" w:hAnsi="Times New Roman" w:cs="Times New Roman"/>
          <w:sz w:val="24"/>
          <w:szCs w:val="24"/>
        </w:rPr>
      </w:pPr>
    </w:p>
    <w:p w:rsidR="00BD4181" w:rsidRDefault="00A43D15" w:rsidP="00A43D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ESCLARECIMENTOS SOBRE A REDUÇÃO DE CARGA HORÁRIA DE </w:t>
      </w:r>
    </w:p>
    <w:p w:rsidR="00A43D15" w:rsidRDefault="00A43D15" w:rsidP="00A43D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ESTÁGIO OBRIGATÓRIO PARA QUEM JÁ EXERCE A PROFISSÃO DOCENTE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A43D15" w:rsidRPr="00F5062A" w:rsidRDefault="00A43D15" w:rsidP="00A43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3D15" w:rsidRDefault="00A43D15" w:rsidP="00A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Este breve arrazoado ajuda a esclarecer uma dúvida, que reaparece com frequência na comunidade </w:t>
      </w:r>
      <w:r w:rsidR="009B1B1D">
        <w:rPr>
          <w:rFonts w:ascii="Times New Roman" w:hAnsi="Times New Roman" w:cs="Times New Roman"/>
          <w:sz w:val="24"/>
          <w:szCs w:val="24"/>
        </w:rPr>
        <w:t>FEUSP</w:t>
      </w:r>
      <w:r>
        <w:rPr>
          <w:rFonts w:ascii="Times New Roman" w:hAnsi="Times New Roman" w:cs="Times New Roman"/>
          <w:sz w:val="24"/>
          <w:szCs w:val="24"/>
        </w:rPr>
        <w:t xml:space="preserve">, em relação à suposta obrigatoriedade de redução da carga horária de estágio disciplinar (ou estágio curricular obrigatório, como também é denominado) para estudantes que já exercem a profissão docente na Educação Básica.  </w:t>
      </w:r>
    </w:p>
    <w:p w:rsidR="00A63A72" w:rsidRDefault="00A43D15" w:rsidP="00A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Nesse sentido, busca-se evidenciar que: </w:t>
      </w:r>
    </w:p>
    <w:p w:rsidR="00A63A72" w:rsidRPr="00FF720C" w:rsidRDefault="00A63A72" w:rsidP="00A6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4356">
        <w:rPr>
          <w:rFonts w:ascii="Times New Roman" w:hAnsi="Times New Roman" w:cs="Times New Roman"/>
          <w:sz w:val="24"/>
          <w:szCs w:val="24"/>
        </w:rPr>
        <w:t xml:space="preserve">A </w:t>
      </w:r>
      <w:r w:rsidRPr="00F61A13">
        <w:rPr>
          <w:rFonts w:ascii="Times New Roman" w:hAnsi="Times New Roman" w:cs="Times New Roman"/>
          <w:b/>
          <w:sz w:val="24"/>
          <w:szCs w:val="24"/>
        </w:rPr>
        <w:t xml:space="preserve">Resolução CNE/CP nº 2, de 20 de </w:t>
      </w:r>
      <w:r w:rsidRPr="009E5CB5">
        <w:rPr>
          <w:rFonts w:ascii="Times New Roman" w:hAnsi="Times New Roman" w:cs="Times New Roman"/>
          <w:b/>
          <w:sz w:val="24"/>
          <w:szCs w:val="24"/>
        </w:rPr>
        <w:t>dezembro de 2019</w:t>
      </w:r>
      <w:r w:rsidRPr="009E5CB5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E5CB5">
        <w:rPr>
          <w:rFonts w:ascii="Times New Roman" w:hAnsi="Times New Roman" w:cs="Times New Roman"/>
          <w:sz w:val="24"/>
          <w:szCs w:val="24"/>
        </w:rPr>
        <w:t>efine as Diretrizes Curriculares Nacionais para a Formação Inicial de Professores para a Educação Básica e institui a Base Nacional Comum para a Formação Inicial de Professores da</w:t>
      </w:r>
      <w:r>
        <w:rPr>
          <w:rFonts w:ascii="Times New Roman" w:hAnsi="Times New Roman" w:cs="Times New Roman"/>
          <w:sz w:val="24"/>
          <w:szCs w:val="24"/>
        </w:rPr>
        <w:t xml:space="preserve"> Educação Básica (BNC-Formação)”, revogou a </w:t>
      </w:r>
      <w:r w:rsidRPr="00F61A13">
        <w:rPr>
          <w:rFonts w:ascii="Times New Roman" w:hAnsi="Times New Roman" w:cs="Times New Roman"/>
          <w:sz w:val="24"/>
          <w:szCs w:val="24"/>
        </w:rPr>
        <w:t>Resolução CNE/CP nº 2/2015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AA">
        <w:rPr>
          <w:rFonts w:ascii="Times New Roman" w:hAnsi="Times New Roman" w:cs="Times New Roman"/>
          <w:sz w:val="24"/>
          <w:szCs w:val="24"/>
        </w:rPr>
        <w:t>(“Art. 30. Esta Resolução entrará em vigor na data de sua publicação, ficando revogada a Resolução CNE/CP nº 2, de 1º de julho de 2015”</w:t>
      </w:r>
      <w:r>
        <w:rPr>
          <w:rFonts w:ascii="Times New Roman" w:hAnsi="Times New Roman" w:cs="Times New Roman"/>
          <w:sz w:val="24"/>
          <w:szCs w:val="24"/>
        </w:rPr>
        <w:t xml:space="preserve">), passando a ser, portanto, desde a data de sua publicação </w:t>
      </w:r>
      <w:r w:rsidRPr="009E5CB5">
        <w:rPr>
          <w:rFonts w:ascii="Times New Roman" w:hAnsi="Times New Roman" w:cs="Times New Roman"/>
          <w:sz w:val="24"/>
          <w:szCs w:val="24"/>
        </w:rPr>
        <w:t>as diretrizes legais vigentes.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72" w:rsidRDefault="00A63A72" w:rsidP="00A63A72">
      <w:pPr>
        <w:rPr>
          <w:rFonts w:ascii="Times New Roman" w:hAnsi="Times New Roman" w:cs="Times New Roman"/>
          <w:sz w:val="24"/>
          <w:szCs w:val="24"/>
        </w:rPr>
      </w:pPr>
    </w:p>
    <w:p w:rsidR="00A63A72" w:rsidRDefault="00A63A72" w:rsidP="00A6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Para cursos de “primeira licenciatura”, que é o caso da Pedagogia e das demais Licenciaturas da </w:t>
      </w:r>
      <w:r w:rsidR="009B1B1D">
        <w:rPr>
          <w:rFonts w:ascii="Times New Roman" w:hAnsi="Times New Roman" w:cs="Times New Roman"/>
          <w:sz w:val="24"/>
          <w:szCs w:val="24"/>
        </w:rPr>
        <w:t>FEUSP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F61A13">
        <w:rPr>
          <w:rFonts w:ascii="Times New Roman" w:hAnsi="Times New Roman" w:cs="Times New Roman"/>
          <w:b/>
          <w:sz w:val="24"/>
          <w:szCs w:val="24"/>
        </w:rPr>
        <w:t xml:space="preserve">Resolução CNE/CP </w:t>
      </w:r>
      <w:r>
        <w:rPr>
          <w:rFonts w:ascii="Times New Roman" w:hAnsi="Times New Roman" w:cs="Times New Roman"/>
          <w:b/>
          <w:sz w:val="24"/>
          <w:szCs w:val="24"/>
        </w:rPr>
        <w:t>nº 2/</w:t>
      </w:r>
      <w:r w:rsidRPr="00F61A13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não prevê a possibilidade de carga horária de estágio menor </w:t>
      </w:r>
      <w:r w:rsidRPr="00FD6FF0">
        <w:rPr>
          <w:rFonts w:ascii="Times New Roman" w:hAnsi="Times New Roman" w:cs="Times New Roman"/>
          <w:sz w:val="24"/>
          <w:szCs w:val="24"/>
        </w:rPr>
        <w:t>para quem já exerce a profissão docente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  <w:r w:rsidRPr="00D34788">
        <w:rPr>
          <w:rFonts w:ascii="Times New Roman" w:hAnsi="Times New Roman" w:cs="Times New Roman"/>
        </w:rPr>
        <w:t>Art. 11. A referida carga horária dos cursos de licenciatura deve ter a seguinte</w:t>
      </w:r>
      <w:r>
        <w:rPr>
          <w:rFonts w:ascii="Times New Roman" w:hAnsi="Times New Roman" w:cs="Times New Roman"/>
        </w:rPr>
        <w:t xml:space="preserve"> </w:t>
      </w:r>
      <w:r w:rsidRPr="00D34788">
        <w:rPr>
          <w:rFonts w:ascii="Times New Roman" w:hAnsi="Times New Roman" w:cs="Times New Roman"/>
        </w:rPr>
        <w:t>distribuição: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4788">
        <w:rPr>
          <w:rFonts w:ascii="Times New Roman" w:hAnsi="Times New Roman" w:cs="Times New Roman"/>
        </w:rPr>
        <w:t>I - Grupo I: 800 (oitocentas) horas, para</w:t>
      </w:r>
      <w:r>
        <w:rPr>
          <w:rFonts w:ascii="Times New Roman" w:hAnsi="Times New Roman" w:cs="Times New Roman"/>
        </w:rPr>
        <w:t xml:space="preserve"> a base comum que compreende os </w:t>
      </w:r>
      <w:r w:rsidRPr="00D34788">
        <w:rPr>
          <w:rFonts w:ascii="Times New Roman" w:hAnsi="Times New Roman" w:cs="Times New Roman"/>
        </w:rPr>
        <w:t xml:space="preserve">conhecimentos científicos, educacionais e pedagógicos </w:t>
      </w:r>
      <w:r>
        <w:rPr>
          <w:rFonts w:ascii="Times New Roman" w:hAnsi="Times New Roman" w:cs="Times New Roman"/>
        </w:rPr>
        <w:t xml:space="preserve">e fundamentam a educação e suas </w:t>
      </w:r>
      <w:r w:rsidRPr="00D34788">
        <w:rPr>
          <w:rFonts w:ascii="Times New Roman" w:hAnsi="Times New Roman" w:cs="Times New Roman"/>
        </w:rPr>
        <w:t>articulações com os sistemas, as escolas e as práticas educacionais.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4788">
        <w:rPr>
          <w:rFonts w:ascii="Times New Roman" w:hAnsi="Times New Roman" w:cs="Times New Roman"/>
        </w:rPr>
        <w:t>II - Grupo II: 1.600 (mil e seiscentas) horas, pa</w:t>
      </w:r>
      <w:r>
        <w:rPr>
          <w:rFonts w:ascii="Times New Roman" w:hAnsi="Times New Roman" w:cs="Times New Roman"/>
        </w:rPr>
        <w:t xml:space="preserve">ra a aprendizagem dos conteúdos </w:t>
      </w:r>
      <w:r w:rsidRPr="00D34788">
        <w:rPr>
          <w:rFonts w:ascii="Times New Roman" w:hAnsi="Times New Roman" w:cs="Times New Roman"/>
        </w:rPr>
        <w:t>específicos das áreas, componentes, unidades temáticas e o</w:t>
      </w:r>
      <w:r>
        <w:rPr>
          <w:rFonts w:ascii="Times New Roman" w:hAnsi="Times New Roman" w:cs="Times New Roman"/>
        </w:rPr>
        <w:t xml:space="preserve">bjetos de conhecimento da BNCC, </w:t>
      </w:r>
      <w:r w:rsidRPr="00D34788">
        <w:rPr>
          <w:rFonts w:ascii="Times New Roman" w:hAnsi="Times New Roman" w:cs="Times New Roman"/>
        </w:rPr>
        <w:t>e para o domínio pedagógico desses conteúdos.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4788">
        <w:rPr>
          <w:rFonts w:ascii="Times New Roman" w:hAnsi="Times New Roman" w:cs="Times New Roman"/>
        </w:rPr>
        <w:t>III - Grupo III: 800 (oitocentas) horas, prática pedagógica, assim distribuídas: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  <w:highlight w:val="yellow"/>
        </w:rPr>
      </w:pPr>
      <w:r w:rsidRPr="00D34788">
        <w:rPr>
          <w:rFonts w:ascii="Times New Roman" w:hAnsi="Times New Roman" w:cs="Times New Roman"/>
        </w:rPr>
        <w:lastRenderedPageBreak/>
        <w:tab/>
        <w:t xml:space="preserve">a) </w:t>
      </w:r>
      <w:r w:rsidRPr="00A63A72">
        <w:rPr>
          <w:rFonts w:ascii="Times New Roman" w:hAnsi="Times New Roman" w:cs="Times New Roman"/>
        </w:rPr>
        <w:t>400 (quatrocentas) horas para o estágio supervisionado, em situação real de trabalho em escola, segundo o Projeto Pedagógico do Curso (PPC) da instituição formadora</w:t>
      </w:r>
      <w:r w:rsidRPr="00D34788">
        <w:rPr>
          <w:rFonts w:ascii="Times New Roman" w:hAnsi="Times New Roman" w:cs="Times New Roman"/>
        </w:rPr>
        <w:t>; e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4788">
        <w:rPr>
          <w:rFonts w:ascii="Times New Roman" w:hAnsi="Times New Roman" w:cs="Times New Roman"/>
        </w:rPr>
        <w:t>b) 400 (quatrocentas) horas para a prática dos compon</w:t>
      </w:r>
      <w:r>
        <w:rPr>
          <w:rFonts w:ascii="Times New Roman" w:hAnsi="Times New Roman" w:cs="Times New Roman"/>
        </w:rPr>
        <w:t xml:space="preserve">entes curriculares dos Grupos I </w:t>
      </w:r>
      <w:r w:rsidRPr="00D34788">
        <w:rPr>
          <w:rFonts w:ascii="Times New Roman" w:hAnsi="Times New Roman" w:cs="Times New Roman"/>
        </w:rPr>
        <w:t>e II, distribuídas ao longo do curso, desde o seu início, segund</w:t>
      </w:r>
      <w:r>
        <w:rPr>
          <w:rFonts w:ascii="Times New Roman" w:hAnsi="Times New Roman" w:cs="Times New Roman"/>
        </w:rPr>
        <w:t xml:space="preserve">o o PPC da instituição </w:t>
      </w:r>
      <w:r w:rsidRPr="00D34788">
        <w:rPr>
          <w:rFonts w:ascii="Times New Roman" w:hAnsi="Times New Roman" w:cs="Times New Roman"/>
        </w:rPr>
        <w:t>formadora.</w:t>
      </w:r>
    </w:p>
    <w:p w:rsidR="00A63A72" w:rsidRPr="00D34788" w:rsidRDefault="00A63A72" w:rsidP="00A63A72">
      <w:pPr>
        <w:spacing w:line="300" w:lineRule="auto"/>
        <w:ind w:left="2268"/>
        <w:rPr>
          <w:rFonts w:ascii="Times New Roman" w:hAnsi="Times New Roman" w:cs="Times New Roman"/>
          <w:highlight w:val="yellow"/>
        </w:rPr>
      </w:pPr>
      <w:r w:rsidRPr="00D34788">
        <w:rPr>
          <w:rFonts w:ascii="Times New Roman" w:hAnsi="Times New Roman" w:cs="Times New Roman"/>
        </w:rPr>
        <w:tab/>
        <w:t xml:space="preserve">Parágrafo único. </w:t>
      </w:r>
      <w:r w:rsidRPr="00A63A72">
        <w:rPr>
          <w:rFonts w:ascii="Times New Roman" w:hAnsi="Times New Roman" w:cs="Times New Roman"/>
        </w:rPr>
        <w:t>Pode haver aproveitamento de formação e de experiências anteriores, desde que desenvolvidas em instituições de ensino e em outras atividades, nos termos do inciso III do Parágrafo único do art. 61 da LDB (Redação dada pela Lei nº 12.014, de 6 de agosto de 2009).</w:t>
      </w:r>
      <w:r w:rsidRPr="00A63A72">
        <w:rPr>
          <w:rFonts w:ascii="Times New Roman" w:hAnsi="Times New Roman" w:cs="Times New Roman"/>
          <w:sz w:val="24"/>
          <w:szCs w:val="24"/>
        </w:rPr>
        <w:t xml:space="preserve"> (</w:t>
      </w:r>
      <w:r w:rsidRPr="00D34788">
        <w:rPr>
          <w:rFonts w:ascii="Times New Roman" w:hAnsi="Times New Roman" w:cs="Times New Roman"/>
          <w:sz w:val="24"/>
          <w:szCs w:val="24"/>
        </w:rPr>
        <w:t>Resolução CNE/CP nº 2, de 20 de dezembro de 2019)</w:t>
      </w:r>
    </w:p>
    <w:p w:rsidR="00A63A72" w:rsidRDefault="00A63A72" w:rsidP="00A63A72">
      <w:pPr>
        <w:rPr>
          <w:rFonts w:ascii="Times New Roman" w:hAnsi="Times New Roman" w:cs="Times New Roman"/>
          <w:sz w:val="24"/>
          <w:szCs w:val="24"/>
        </w:rPr>
      </w:pPr>
    </w:p>
    <w:p w:rsidR="00A63A72" w:rsidRDefault="00A63A72" w:rsidP="00A6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 que a Resolução prevê é o direito ao “aproveitamento </w:t>
      </w:r>
      <w:r w:rsidRPr="00FD6FF0">
        <w:rPr>
          <w:rFonts w:ascii="Times New Roman" w:hAnsi="Times New Roman" w:cs="Times New Roman"/>
          <w:sz w:val="24"/>
          <w:szCs w:val="24"/>
        </w:rPr>
        <w:t>de formaçã</w:t>
      </w:r>
      <w:r>
        <w:rPr>
          <w:rFonts w:ascii="Times New Roman" w:hAnsi="Times New Roman" w:cs="Times New Roman"/>
          <w:sz w:val="24"/>
          <w:szCs w:val="24"/>
        </w:rPr>
        <w:t>o e de experiências anteriores”</w:t>
      </w:r>
      <w:r w:rsidR="003743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Contudo, ao não dar maiores detalhes sob</w:t>
      </w:r>
      <w:r w:rsidR="00374356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as formas desse aprovei</w:t>
      </w:r>
      <w:r w:rsidR="00374356">
        <w:rPr>
          <w:rFonts w:ascii="Times New Roman" w:hAnsi="Times New Roman" w:cs="Times New Roman"/>
          <w:sz w:val="24"/>
          <w:szCs w:val="24"/>
        </w:rPr>
        <w:t xml:space="preserve">tamento, a redação é genérica, </w:t>
      </w:r>
      <w:r>
        <w:rPr>
          <w:rFonts w:ascii="Times New Roman" w:hAnsi="Times New Roman" w:cs="Times New Roman"/>
          <w:sz w:val="24"/>
          <w:szCs w:val="24"/>
        </w:rPr>
        <w:t xml:space="preserve">tacitamente a Resolução delega às instituições de ensino superior a especificação e os pormenores de execução deste direito. </w:t>
      </w:r>
    </w:p>
    <w:p w:rsidR="00A63A72" w:rsidRDefault="00A63A72" w:rsidP="00A63A72">
      <w:pPr>
        <w:rPr>
          <w:rFonts w:ascii="Times New Roman" w:hAnsi="Times New Roman" w:cs="Times New Roman"/>
          <w:sz w:val="24"/>
          <w:szCs w:val="24"/>
        </w:rPr>
      </w:pPr>
    </w:p>
    <w:p w:rsidR="00A63A72" w:rsidRPr="009656F7" w:rsidRDefault="00A63A72" w:rsidP="00A6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 </w:t>
      </w:r>
      <w:r w:rsidR="009B1B1D">
        <w:rPr>
          <w:rFonts w:ascii="Times New Roman" w:hAnsi="Times New Roman" w:cs="Times New Roman"/>
          <w:sz w:val="24"/>
          <w:szCs w:val="24"/>
        </w:rPr>
        <w:t>FEUSP</w:t>
      </w:r>
      <w:r>
        <w:rPr>
          <w:rFonts w:ascii="Times New Roman" w:hAnsi="Times New Roman" w:cs="Times New Roman"/>
          <w:sz w:val="24"/>
          <w:szCs w:val="24"/>
        </w:rPr>
        <w:t xml:space="preserve">, além do aproveitamento de disciplinas, a Portaria de Estágio da </w:t>
      </w:r>
      <w:r w:rsidR="009B1B1D">
        <w:rPr>
          <w:rFonts w:ascii="Times New Roman" w:hAnsi="Times New Roman" w:cs="Times New Roman"/>
          <w:sz w:val="24"/>
          <w:szCs w:val="24"/>
        </w:rPr>
        <w:t>FEUSP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EFC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9B1B1D">
        <w:rPr>
          <w:rFonts w:ascii="Times New Roman" w:hAnsi="Times New Roman" w:cs="Times New Roman"/>
          <w:b/>
          <w:sz w:val="24"/>
          <w:szCs w:val="24"/>
        </w:rPr>
        <w:t>FEUSP</w:t>
      </w:r>
      <w:r w:rsidRPr="00D53EFC">
        <w:rPr>
          <w:rFonts w:ascii="Times New Roman" w:hAnsi="Times New Roman" w:cs="Times New Roman"/>
          <w:b/>
          <w:sz w:val="24"/>
          <w:szCs w:val="24"/>
        </w:rPr>
        <w:t xml:space="preserve"> n. 19/2019</w:t>
      </w:r>
      <w:r>
        <w:rPr>
          <w:rFonts w:ascii="Times New Roman" w:hAnsi="Times New Roman" w:cs="Times New Roman"/>
          <w:sz w:val="24"/>
          <w:szCs w:val="24"/>
        </w:rPr>
        <w:t xml:space="preserve"> prevê a possibilidade de “aproveitamento de horas” de exercício da função docente como horas de estágio, desde que autorizadas pelo docente responsável pela disciplina.  </w:t>
      </w:r>
    </w:p>
    <w:p w:rsidR="00A63A72" w:rsidRPr="00A53EBB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  <w:r w:rsidRPr="00A53EBB">
        <w:rPr>
          <w:rFonts w:ascii="Times New Roman" w:hAnsi="Times New Roman" w:cs="Times New Roman"/>
        </w:rPr>
        <w:t xml:space="preserve">Art.10 - </w:t>
      </w:r>
      <w:r w:rsidRPr="0092436B">
        <w:rPr>
          <w:rFonts w:ascii="Times New Roman" w:hAnsi="Times New Roman" w:cs="Times New Roman"/>
        </w:rPr>
        <w:t>O exercício da função docente não dispensa o aluno do cumprimento da carga horária de estágio obrigatório integrado às disciplinas,</w:t>
      </w:r>
      <w:r w:rsidRPr="00A53EBB">
        <w:rPr>
          <w:rFonts w:ascii="Times New Roman" w:hAnsi="Times New Roman" w:cs="Times New Roman"/>
        </w:rPr>
        <w:t xml:space="preserve"> </w:t>
      </w:r>
      <w:r w:rsidRPr="00A63A72">
        <w:rPr>
          <w:rFonts w:ascii="Times New Roman" w:hAnsi="Times New Roman" w:cs="Times New Roman"/>
          <w:b/>
        </w:rPr>
        <w:t>salvo condições de aproveitamento de horas autorizadas e aceitas pelo docente responsável pela disciplina</w:t>
      </w:r>
      <w:r w:rsidRPr="00A63A72">
        <w:rPr>
          <w:rFonts w:ascii="Times New Roman" w:hAnsi="Times New Roman" w:cs="Times New Roman"/>
        </w:rPr>
        <w:t>.</w:t>
      </w:r>
      <w:r w:rsidRPr="00A53EBB">
        <w:rPr>
          <w:rFonts w:ascii="Times New Roman" w:hAnsi="Times New Roman" w:cs="Times New Roman"/>
        </w:rPr>
        <w:t xml:space="preserve"> (PORTARIA </w:t>
      </w:r>
      <w:r w:rsidR="009B1B1D">
        <w:rPr>
          <w:rFonts w:ascii="Times New Roman" w:hAnsi="Times New Roman" w:cs="Times New Roman"/>
        </w:rPr>
        <w:t>FEUSP</w:t>
      </w:r>
      <w:r w:rsidRPr="00A53EBB">
        <w:rPr>
          <w:rFonts w:ascii="Times New Roman" w:hAnsi="Times New Roman" w:cs="Times New Roman"/>
        </w:rPr>
        <w:t xml:space="preserve"> n. 19/2019</w:t>
      </w:r>
      <w:r>
        <w:rPr>
          <w:rFonts w:ascii="Times New Roman" w:hAnsi="Times New Roman" w:cs="Times New Roman"/>
        </w:rPr>
        <w:t>; destaque nosso</w:t>
      </w:r>
      <w:r w:rsidRPr="00A53EB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A63A72" w:rsidRDefault="00A63A72" w:rsidP="00A63A72">
      <w:pPr>
        <w:spacing w:line="300" w:lineRule="auto"/>
        <w:ind w:left="2268"/>
        <w:rPr>
          <w:rFonts w:ascii="Times New Roman" w:hAnsi="Times New Roman" w:cs="Times New Roman"/>
        </w:rPr>
      </w:pPr>
    </w:p>
    <w:p w:rsidR="00A63A72" w:rsidRDefault="00A63A72" w:rsidP="00A6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Por fim, a </w:t>
      </w:r>
      <w:r w:rsidRPr="00937FD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rtaria de Estágio da </w:t>
      </w:r>
      <w:r w:rsidR="009B1B1D">
        <w:rPr>
          <w:rFonts w:ascii="Times New Roman" w:hAnsi="Times New Roman" w:cs="Times New Roman"/>
          <w:sz w:val="24"/>
          <w:szCs w:val="24"/>
        </w:rPr>
        <w:t>FEUSP em vigor</w:t>
      </w:r>
      <w:r>
        <w:rPr>
          <w:rFonts w:ascii="Times New Roman" w:hAnsi="Times New Roman" w:cs="Times New Roman"/>
          <w:sz w:val="24"/>
          <w:szCs w:val="24"/>
        </w:rPr>
        <w:t xml:space="preserve">, ao não dar maiores detalhes sobre como se dará “o aproveitamento da experiência no magistério como horas de estágio curricular”, tacitamente delega aos docentes da </w:t>
      </w:r>
      <w:r w:rsidR="009B1B1D">
        <w:rPr>
          <w:rFonts w:ascii="Times New Roman" w:hAnsi="Times New Roman" w:cs="Times New Roman"/>
          <w:sz w:val="24"/>
          <w:szCs w:val="24"/>
        </w:rPr>
        <w:t>FEUSP</w:t>
      </w:r>
      <w:r>
        <w:rPr>
          <w:rFonts w:ascii="Times New Roman" w:hAnsi="Times New Roman" w:cs="Times New Roman"/>
          <w:sz w:val="24"/>
          <w:szCs w:val="24"/>
        </w:rPr>
        <w:t xml:space="preserve"> a especificação e os pormenores da execução deste direito.</w:t>
      </w:r>
    </w:p>
    <w:p w:rsidR="007F6E41" w:rsidRDefault="00E60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Essas informações podem esclarecer eventuais dúvidas sobre redução ou aproveitamento de atividades na realização dos estágios curriculares obrigatórios. No atual momento de pandemia, vale a pena considerar e até construir alternativas, entre as quais está o reconhecimento do exercício profissional como equivalente ao estágio. Tal decisão compete ao docente responsável pela matéria, justificando-se, portanto, 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articulação entre a proposta do estágio e os estudos realizados na disciplina. </w:t>
      </w:r>
    </w:p>
    <w:p w:rsidR="00E6034B" w:rsidRDefault="00E60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Evidentemente, </w:t>
      </w:r>
      <w:r w:rsidR="006C6A5A">
        <w:rPr>
          <w:rFonts w:ascii="Times New Roman" w:hAnsi="Times New Roman" w:cs="Times New Roman"/>
          <w:sz w:val="24"/>
          <w:szCs w:val="24"/>
        </w:rPr>
        <w:t>trata-se de uma importante questão. Quando do retorno</w:t>
      </w:r>
      <w:r w:rsidR="00594303">
        <w:rPr>
          <w:rFonts w:ascii="Times New Roman" w:hAnsi="Times New Roman" w:cs="Times New Roman"/>
          <w:sz w:val="24"/>
          <w:szCs w:val="24"/>
        </w:rPr>
        <w:t xml:space="preserve"> às nossas atividades presenciais</w:t>
      </w:r>
      <w:r w:rsidR="006C6A5A">
        <w:rPr>
          <w:rFonts w:ascii="Times New Roman" w:hAnsi="Times New Roman" w:cs="Times New Roman"/>
          <w:sz w:val="24"/>
          <w:szCs w:val="24"/>
        </w:rPr>
        <w:t>, será possível retomar o debate e avaliar os modos como se tem vivido os atuais desafios.</w:t>
      </w:r>
    </w:p>
    <w:p w:rsidR="006C6A5A" w:rsidRDefault="006C6A5A">
      <w:pPr>
        <w:rPr>
          <w:rFonts w:ascii="Times New Roman" w:hAnsi="Times New Roman" w:cs="Times New Roman"/>
          <w:sz w:val="24"/>
          <w:szCs w:val="24"/>
        </w:rPr>
      </w:pPr>
    </w:p>
    <w:p w:rsidR="006C6A5A" w:rsidRDefault="006C6A5A" w:rsidP="006C6A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6C6A5A" w:rsidRDefault="006C6A5A" w:rsidP="006C6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A5A" w:rsidRPr="006C6A5A" w:rsidRDefault="006C6A5A" w:rsidP="006C6A5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C6A5A">
        <w:rPr>
          <w:rFonts w:ascii="Times New Roman" w:hAnsi="Times New Roman" w:cs="Times New Roman"/>
          <w:caps/>
          <w:sz w:val="24"/>
          <w:szCs w:val="24"/>
        </w:rPr>
        <w:t>Comissão de Graduação</w:t>
      </w:r>
    </w:p>
    <w:p w:rsidR="006C6A5A" w:rsidRPr="006C6A5A" w:rsidRDefault="006C6A5A" w:rsidP="006C6A5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C6A5A">
        <w:rPr>
          <w:rFonts w:ascii="Times New Roman" w:hAnsi="Times New Roman" w:cs="Times New Roman"/>
          <w:caps/>
          <w:sz w:val="24"/>
          <w:szCs w:val="24"/>
        </w:rPr>
        <w:t>Comissão de Estágios, Estudos Independentes e TCC</w:t>
      </w:r>
    </w:p>
    <w:sectPr w:rsidR="006C6A5A" w:rsidRPr="006C6A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93" w:rsidRDefault="003B2993" w:rsidP="00A43D15">
      <w:pPr>
        <w:spacing w:line="240" w:lineRule="auto"/>
      </w:pPr>
      <w:r>
        <w:separator/>
      </w:r>
    </w:p>
  </w:endnote>
  <w:endnote w:type="continuationSeparator" w:id="0">
    <w:p w:rsidR="003B2993" w:rsidRDefault="003B2993" w:rsidP="00A4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93" w:rsidRDefault="003B2993" w:rsidP="00A43D15">
      <w:pPr>
        <w:spacing w:line="240" w:lineRule="auto"/>
      </w:pPr>
      <w:r>
        <w:separator/>
      </w:r>
    </w:p>
  </w:footnote>
  <w:footnote w:type="continuationSeparator" w:id="0">
    <w:p w:rsidR="003B2993" w:rsidRDefault="003B2993" w:rsidP="00A43D15">
      <w:pPr>
        <w:spacing w:line="240" w:lineRule="auto"/>
      </w:pPr>
      <w:r>
        <w:continuationSeparator/>
      </w:r>
    </w:p>
  </w:footnote>
  <w:footnote w:id="1">
    <w:p w:rsidR="00A43D15" w:rsidRPr="00A53EBB" w:rsidRDefault="00A43D15" w:rsidP="00A43D15">
      <w:pPr>
        <w:pStyle w:val="Textodenotaderodap"/>
        <w:rPr>
          <w:rFonts w:ascii="Times New Roman" w:hAnsi="Times New Roman" w:cs="Times New Roman"/>
        </w:rPr>
      </w:pPr>
      <w:r w:rsidRPr="00A53EBB">
        <w:rPr>
          <w:rStyle w:val="Refdenotaderodap"/>
          <w:rFonts w:ascii="Times New Roman" w:hAnsi="Times New Roman" w:cs="Times New Roman"/>
        </w:rPr>
        <w:footnoteRef/>
      </w:r>
      <w:r w:rsidRPr="00A53EBB">
        <w:rPr>
          <w:rFonts w:ascii="Times New Roman" w:hAnsi="Times New Roman" w:cs="Times New Roman"/>
        </w:rPr>
        <w:t xml:space="preserve"> Contribuição elaborada pelo educador Renato Ribeiro, </w:t>
      </w:r>
      <w:r>
        <w:rPr>
          <w:rFonts w:ascii="Times New Roman" w:hAnsi="Times New Roman" w:cs="Times New Roman"/>
        </w:rPr>
        <w:t xml:space="preserve">por demanda e supervisão da </w:t>
      </w:r>
      <w:r w:rsidRPr="00A53EBB">
        <w:rPr>
          <w:rFonts w:ascii="Times New Roman" w:hAnsi="Times New Roman" w:cs="Times New Roman"/>
        </w:rPr>
        <w:t xml:space="preserve">Profa. Dra. Vivian Batista da Silva, coordenadora da Comissão de Estágios, Estudos Independentes e TCC.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477392"/>
      <w:docPartObj>
        <w:docPartGallery w:val="Page Numbers (Top of Page)"/>
        <w:docPartUnique/>
      </w:docPartObj>
    </w:sdtPr>
    <w:sdtEndPr/>
    <w:sdtContent>
      <w:p w:rsidR="00CD219A" w:rsidRDefault="00095C7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460">
          <w:rPr>
            <w:noProof/>
          </w:rPr>
          <w:t>1</w:t>
        </w:r>
        <w:r>
          <w:fldChar w:fldCharType="end"/>
        </w:r>
      </w:p>
    </w:sdtContent>
  </w:sdt>
  <w:p w:rsidR="00CD219A" w:rsidRDefault="003B29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DAD"/>
    <w:multiLevelType w:val="hybridMultilevel"/>
    <w:tmpl w:val="BC68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15"/>
    <w:rsid w:val="00095C7C"/>
    <w:rsid w:val="00123CA7"/>
    <w:rsid w:val="00374356"/>
    <w:rsid w:val="003B2993"/>
    <w:rsid w:val="003D3CAA"/>
    <w:rsid w:val="00594303"/>
    <w:rsid w:val="005B48B7"/>
    <w:rsid w:val="005F4460"/>
    <w:rsid w:val="006105A7"/>
    <w:rsid w:val="006C6A5A"/>
    <w:rsid w:val="007F3799"/>
    <w:rsid w:val="007F6E41"/>
    <w:rsid w:val="009B1B1D"/>
    <w:rsid w:val="00A43D15"/>
    <w:rsid w:val="00A63A72"/>
    <w:rsid w:val="00BD4181"/>
    <w:rsid w:val="00CA0A74"/>
    <w:rsid w:val="00E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6F77-07E1-48D6-9370-2CD38FF1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1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3D1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3D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3D1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3D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3D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Simone Silva</cp:lastModifiedBy>
  <cp:revision>2</cp:revision>
  <dcterms:created xsi:type="dcterms:W3CDTF">2020-06-08T18:49:00Z</dcterms:created>
  <dcterms:modified xsi:type="dcterms:W3CDTF">2020-06-08T18:49:00Z</dcterms:modified>
</cp:coreProperties>
</file>